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Code/Flag Tables — Class 24</w:t>
      </w:r>
    </w:p>
    <w:p>
      <w:r>
        <w:rPr>
          <w:rFonts w:ascii="Arial" w:hAnsi="Arial"/>
          <w:b/>
          <w:sz w:val="18"/>
        </w:rPr>
        <w:t>024003  Состав выброса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  <w:gridCol w:w="5046"/>
      </w:tblGrid>
      <w:tr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Code Figure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Entry Name</w:t>
            </w:r>
          </w:p>
        </w:tc>
        <w:tc>
          <w:tcPr>
            <w:tcW w:type="dxa" w:w="5046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Инертные газы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Соединения йода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Соединения цезия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Трансурановые соединения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4-30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Зарезервированы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31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5046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