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02: Приборное оснащение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приборов для измерения испарения или вид с.-х. культуры, по которой сообщаются данные об эвапотранспирации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измерения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 случае прибора для измерения уровня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оффшорной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Полнота радиозондовых измерений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Алгоритмы поправок для измерений влажности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47: HIRS* эквивалентен: каналам HIRS 1 (669 см-1) 2 (679 см-1) 3 (690 см-1) 4 (2 358 см-1)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Используемая методика обработки спутниковых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Спутниковый(е) канал(ы), используемый(е) в вычислениях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сегмента в надире в направлении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сегмента в надире в направлении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кабеля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буя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для скорости поверхностного морского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метода расчета спектральных волновых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глубоководного измерителя волн цунами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спутникового датчика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Используемая методика обработки данных геостационарных спутников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Используемые каналы геостационарных спутников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Используемые каналы геостационарных спутников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Характеристики яркостной температуры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Характеристики параметров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параметры геостационарного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Статистика точности геостационарного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информации в нулевом приближении для зондирования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Эффективное время первой ориентировочной информации для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аналитической информации для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приземной информации для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Навигационная система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системы ретрансляции данных с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крена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принимающая станция ACARS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система приема сигналов радиозондов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Первоначальная спецификация широты/ долготы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Производитель шаров-зондов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Вес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укрытия для шаров-зондов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Площадь поверхности парашюта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Объем газа, использованного в оболочке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с входным сигналом 4/20 мА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профиля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Константа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157: Эта константа определяется следующим образом: Z = P + радарная константа, где Z = отражательная способность цели в направлении луча (dBZ), а P = входная мощность приемника выше 1 мВт (дБм). Эта константа используется для нормализации сигнала до эквивалентной дальности 100 км.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антенны над основанием опоры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Обтекатель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усиление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луча в 3 дБ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Подавление бокового лепестка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Выделение поперечной поляризации (по оси)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антенны (азимут)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антенны (угол места)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визирования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визирований по азимуту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Площадь эффективной поверхности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обработанной полосы частот 320 МГц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обработанной полосы частот 80 МГц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обработанной полосы частот 20 МГц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работы прибора RA-2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Частота океанских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перестройки частоты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Пиковая мощность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мощность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Частота повторения импульса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Длительность импульса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Промежуточная частота приемника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полосы промежуточной частоты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Минимальный обнаруживаемый сигнал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Динамический диапазон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контроль чувствительности (STC)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по азимуту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по углу места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азимута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места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Дальность, обрабатываемая с учетом ослабления с расстоянием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Соотношение двойной частоты повторения импульсов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вращения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Компановка приборов SIRAL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по азимуту луча спутникового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111: Необходимо отметить, что дескриптор 0 02 140 является полярным углом, измеряемым в направлении против часовой стрелки от вектора движения спутника.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измерения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91: Значение исключено. Вместо него следует использовать кодовую цифру 6.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источника света для спектрофотометра Брюйера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Установка длины волны для приборов Добсона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Условия источника для приборов Добсона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передачи в центр сбора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 используемого прибора TOVS/ATOVS/AVHRR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Спутниковый прибор, используемый при обработке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46: Для указания отдельного спутникового прибора вместо дескриптора 0 02 152 следует использовать дескриптор 0 02 019.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спутникового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успешных измерений с помощью прибора вторичных прослеживаний океана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успешных измерений с помощью прибора вторичных прослеживаний океана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RA-2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MWR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обработки параметров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определения продленной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корреляции слежения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типов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Гидростатическое давление на нижнем конце кабеля (гирлянда терморезисторов)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анемометра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Самолетные датчики влажности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продукции по атмосферным газам (восстановленной по спутниковым данным)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вне надира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124: Квадрат угла вне надира, вычисленный по производным параметрам меандра Ku, единица 10-4 град.2, общее минимальное значение 0, общее максимальное значение 900.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количество пикселей поперек траектории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состояния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алгоритма состояния неба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система определения текущей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 датчик для определения текущей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измерения видимости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обнаружения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обнаружения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обнаруживать другие явления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обнаруживать явления, ухудшающие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различать удары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Притопленный дрейфующий буй Лагранжа (время погружения в %)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