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19: Синоптические характеристики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138: Эффективный радиус синоптической характеристики следует определять относительно радиуса изобары 1000 гПа на среднем уровне моря.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Максимальный ветер и эффективный радиус максимального ветра должны быть указаны посредством элементов 0 19 003 и 0 19 004.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Для неизменной синоптической характеристики как направление перемещения синоптической характеристики (0 19 005), так и скорость перемещения синоптической характеристики (0 19 006) должны быть обозначены как 0.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Для неизменной синоптической характеристики как направление перемещения синоптической характеристики (0 19 005), так и скорость перемещения синоптической характеристики (0 19 006) должны быть обозначены как 0.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 (большие штормы)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основной оси глаза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последнего 24-часового изменения (+: развитие, –: ослабление)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Окончательный тропический (Т) номер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окончательного Т номера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