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22: Океанографические элементы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ветровых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зыби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54: В данной кодовой таблице всякий раз, когда упоминается лед, это также включает в себя другие твердые осадки, отличные от снега.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ветровых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зыби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ветровых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зыби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высоты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национальному наземному реперу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55: В тех случаях, когда облака не видны из-за сильного дождя, наблюдателю следует использовать код 5 или 8. Код 5 следует использовать, если выпадает дождь локального характера или кратковременный, а код 8 — если дождь занимает обширное пространство или выпадает в течение более продолжительных периодов.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55: В тех случаях, когда облака не видны из-за сильного дождя, наблюдателю следует использовать код 5 или 8. Код 5 следует использовать, если выпадает дождь локального характера или кратковременный, а код 8 — если дождь занимает обширное пространство или выпадает в течение более продолжительных периодов.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 (скользящая средняя за 15 дней)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звука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Доля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морской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температуры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буя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плавучего якоря дрейфующего буя Лагранжа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Проводимость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измерений профиля температуры/солености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плотность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146: Высота значительной волны определяется как четырехкратная величина квадратного корня энергетического спектра, интегрированного через направление и частоту. Она соответствует высоте более одной трети всех волн.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Спектральный пиковый период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пиковая длина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длина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137: Доминирующая волна — это волна, обладающая максимальной энергией в энергетическом спектре.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137: Доминирующая волна — это волна, обладающая максимальной энергией в энергетическом спектре.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волнограммы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Центральное волновое число диапазона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ненаправленная спектральная волновая плотность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ненаправленное спектральное волновое число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100: Среднее направление волны — это угол альфа 1, а главное направление волны — это угол альфа 2, приблизительно равное в выражении S(f, alpha): c11 x (0,5 + r1 x cos (alpha – alpha 1) + r2 x cos (2 (alpha – alpha 2))) / pi, где S(f, alpha) — это направленный спектр волны, а c11 — ненаправленный спектр волны, и правая часть этого выражения представляет собой первые два элемента разложения рядов Фурье S(f, alpha). В случае значительного расхождения среднего и главного направлений (например, более 15°) для данной частоты указываются пересекающиеся волны.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ненаправленного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диапазонов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отдельных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ширина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направление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максимальная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максимальная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 (15-дневное скользящее среднее)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высоты значительной волны (20 Гц) — в квадрате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высоты значительной волны в квадрате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(20 Гц) значений данных по океану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OCOG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по диапазону OCOG (20 Гц)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данных по океану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(20 Гц) в квадрате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на 18 Гц для полосы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на 18 Гц для полосы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Обратное нормированное значение возраста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Спектры волн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высоты значительной волны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значений данных по океану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(20 Гц) для полосы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(20 Гц) значений высоты значительной волны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высоты значительной волны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коэффициента обратного рассеяния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устройства для спуска ОБТ/ОПТГ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устройства для спуска ОБТ/ОПТГ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139: Максимальная глубина постановки таких глубоководных измерителей волн цунами, как Система глубоководной оценки и оповещения о цунами (ДАРТ II) ПМЕЛ, составляет около 6 000 м.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высоты водного столба от величины начала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13: В тех случаях, когда указываются «замененные/задержанные величины», это должно означать, что элемент данных из первоначальной части сообщения был заменен более правильной (предположительно) величиной; первоначальная величина была сохранена в сообщении с последующим замененным/задержанным оператором. В случае необходимости включения многочисленных замен для того же элемента данных, они должны следовать в таком порядке, чтобы первоначальные данные находились на последнем месте, а им должна предшествовать первая величина замены, которой в свою очередь предшествует следующая величина и т. д. Каждая величина или серия замененных задержанных величин должна быть указана посредством включения оператора 2 32 000.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14: (Будет определено самими центрами — см. общую кодовую таблицу С-12 в части С/с.)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