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21: Radar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reflectivity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reflectivity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Differential reflectivity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Differential reflectivity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Linear depolarization ratio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Circular depolarization ratio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reflectivity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radar reflectivity factor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Doppler velocity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vertical Doppler velocity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mean velocity in x-direction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mean velocity in y-direction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mean velocity in z-direction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mean velocity (radial)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velocity spectral width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NYQUIST velocity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 NYQUIST velocity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Dynamic atmospheric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Echo tops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Range bin offset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Range bin size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Azimuth offset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Azimuthal resolution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sigma-0 usability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contribution ratio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Differential phase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Cross-polarization correlation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to noise ratio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Vertically integrated liquid-water content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rainfall intensity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Bright-band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power above 1 mW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Radiometric resolution (noise value)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Clutter noise estimate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packet counter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scatterometer product confidence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product confidence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altimeter product confidence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SST product confidence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SST product confidence data (SADIST-2)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Peakiness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altimeter calibration status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altimeter instrument mode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Image spectrum intensity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Representation of intensities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correction (ionosphere)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correction (dry troposphere)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correction (wet troposphere)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correction (calibration constant)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Open loop correction (height-time loop)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Open loop correction (auto gain control)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Warm target calibration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Cold target calibration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ATSR sea-surface temperature across-track band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in nadir only, average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in dual view, average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Wet backscatter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Radar signal Doppler spectrum 0th moment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RASS signal Doppler spectrum 0th moment, referring to RASS signal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peakiness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 band peakiness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coefficient 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coefficient 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coefficient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vector ambiguities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Index of selected wind vector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number of sigma-0 measurements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Likelihood computed for solution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Normalized radar cross-section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variance coefficient (alpha)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variance coefficient (beta)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wind vector cell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inner-beam sigma-0 (forward of satellite)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outer-beam sigma-0 (forward of satellite)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inner-beam sigma-0 (aft of satellite)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outer-beam sigma-0 (aft of satellite)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Kp variance coefficient (gamma)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sigma-0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sigma-0 mode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variance quality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Attenuation correction on sigma-0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scatterometer geophysical model function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Probability of rain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NOF rain index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Attenuation correction on sigma-0 (from tB)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SEAWINDS normalized radar cross-section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per second used to derive previous parameters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Spectrum total energy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Spectrum max energy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spectrum max on higher resolution grid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Wavelength of spectrum max on higher resolution grid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Range resolution of cress covariance spectrum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Real part of cross spectra polar grid number of bins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Imaginary part of cross spectra polar grid number of bins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corrected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Ku band corrected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net instrumental correction for AGC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 band corrected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S band corrected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 band net instrumental correction for AGC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rain attenuation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rain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automatic gain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Ku band automatic gain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Ku band automatic gain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Trailing edge variation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Beam co-location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Estimated error in sigma-0 at 40 degrees incidence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Slope at 40 degrees incidence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Estimated error in slope at 40 degrees incidence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Soil moisture sensitivity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vector cell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Backscatter distance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Loss per unit length of atmosphere used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Kp estimate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sigma-0 usability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use of synthetic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synthetic data quantity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satellite orbit and attitude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solar array reflection contamination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telemetry presence and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ASCAT extrapolated reference function presence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Subsurface scattering probability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presence indicator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corrected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C band corrected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net instrumental correction for AGC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band automatic gain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C band automatic gain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C band automatic gain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High frequency variability correction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Corrected OCOG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of 20 Hz OCOG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20 Hz valid points for OCOG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20 Hz valid points for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Hz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Hz Ku band peakiness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corrected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STD specific band corrected ocean backscatter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net instrumental correction for AGC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Specific band automatic gain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RMS specific band automatic gain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valid points for specific band automatic gain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Corrected OCOG backscatter coefficient (negative reference)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B11: 0 21 189 is similar to 0-21-177, but with a negative reference value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