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24: Elementos radiológicos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Estimación de la cantidad de radiactividad emitida hasta una hora dada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Emisión potencial máxima estimada de sustancias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Composición de la emisión de sustancias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Masa del isótopo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Dosis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mSv*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mSv*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Trayectoria de la dosis (para un lugar y una hora de llegada dados)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Dosis de rayos gamma en el aire a lo largo de la ruta del transporte principal (en un lugar preciso y por un período determinado)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Tasa de dosis de radiación gamma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nSv h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nSv h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B81: La tasa de dosis de radiación gamma 0 24 014 está destinada a los informes relativos a este elemento en condiciones normales, excluyendo los accidentes nucleares. I.2 – BUFR/CREX Tabla B/24 – 2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Concentración en el aire (del tipo de isótopo designado incluyendo la dosis beta bruta)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Concentración en las precipitaciones (del tipo de isótopo designado)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 l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 l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Pulsación de la radiación beta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Pulsación de la radiación gamma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B162: Intervalos útiles utilizados: de 1011 Bq a 1019 Bq para emisiones; de 10–2 Bq a 107 Bq y de 10–2 mSv a 107 mSv para concentraciones y dosis.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