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27: Ubicación sin coordenadas (horizontal –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alterna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B132: Se puede utilizar la latitud alterna cuando el cálculo de la posición nos da varias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alterna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B132: Se puede utilizar la latitud alterna cuando el cálculo de la posición nos da varias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de huella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Contador de la ubicación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B143: El contador de ubicación de los satélites se calcula como sigue: = número de superbanda x 1 000 + número de casilla x 10 + número de minicasilla.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 sububicación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B144: La dimensión de la sububicación de los satélites se calcula como sigue: dimensión = dimensión de minicasilla + dimensión de casilla donde: dimensión de minicasilla = líneas x 1000 + puntos x 100 dimensión de casilla = líneas x 10 + puntos. I.2 – BUFR/CREX Tabla B/27 – 1 (Clase 27 – continuación)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de 0 grados de longitud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B96: Para el descriptor 0 27 031 se han escogido ejes x, y y z negativos. I.2 – BUFR/CREX Tabla B/27 – 2 | Note B151: El valor para el descriptor 0 27 031 ha sido escogido para adecuarse a satélites en órbita polar en órbitas aproximadamente heliosincrónicas. Las órbitas geoestacionarias requerirían una anchura de datos mayor para la distancia y ligeramente menor para la velocidad.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horizontal del volumen de muestra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visión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