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771F" w14:textId="77777777" w:rsidR="009A77D6" w:rsidRDefault="0093162A">
      <w:pPr>
        <w:pStyle w:val="Heading2"/>
      </w:pPr>
      <w:bookmarkStart w:id="0" w:name="_f7b744arhx8h" w:colFirst="0" w:colLast="0"/>
      <w:bookmarkStart w:id="1" w:name="_GoBack"/>
      <w:bookmarkEnd w:id="0"/>
      <w:bookmarkEnd w:id="1"/>
      <w:r>
        <w:t xml:space="preserve"> [</w:t>
      </w:r>
      <w:proofErr w:type="spellStart"/>
      <w:r>
        <w:t>wmo-im</w:t>
      </w:r>
      <w:proofErr w:type="spellEnd"/>
      <w:r>
        <w:t>/BUFR4] Revision of E-Profile Sequences (#21)</w:t>
      </w:r>
    </w:p>
    <w:p w14:paraId="59C8A9C4" w14:textId="77777777" w:rsidR="009A77D6" w:rsidRDefault="009A77D6"/>
    <w:p w14:paraId="0225A550" w14:textId="77777777" w:rsidR="009A77D6" w:rsidRDefault="0093162A">
      <w:pPr>
        <w:pStyle w:val="Heading3"/>
      </w:pPr>
      <w:bookmarkStart w:id="2" w:name="_qkdm4wn38jnf" w:colFirst="0" w:colLast="0"/>
      <w:bookmarkEnd w:id="2"/>
      <w:r>
        <w:t>Response to reviewers</w:t>
      </w:r>
    </w:p>
    <w:p w14:paraId="7943B11F" w14:textId="77777777" w:rsidR="009A77D6" w:rsidRDefault="009A77D6"/>
    <w:p w14:paraId="34EEE1E9" w14:textId="77777777" w:rsidR="009A77D6" w:rsidRDefault="0093162A">
      <w:pPr>
        <w:numPr>
          <w:ilvl w:val="0"/>
          <w:numId w:val="1"/>
        </w:numPr>
        <w:rPr>
          <w:color w:val="24292E"/>
          <w:sz w:val="21"/>
          <w:szCs w:val="21"/>
          <w:highlight w:val="white"/>
        </w:rPr>
      </w:pPr>
      <w:r>
        <w:rPr>
          <w:color w:val="24292E"/>
          <w:sz w:val="21"/>
          <w:szCs w:val="21"/>
          <w:highlight w:val="white"/>
        </w:rPr>
        <w:t>[</w:t>
      </w:r>
      <w:proofErr w:type="spellStart"/>
      <w:r>
        <w:rPr>
          <w:color w:val="24292E"/>
          <w:sz w:val="21"/>
          <w:szCs w:val="21"/>
          <w:highlight w:val="white"/>
        </w:rPr>
        <w:t>SibylleK</w:t>
      </w:r>
      <w:proofErr w:type="spellEnd"/>
      <w:r>
        <w:rPr>
          <w:color w:val="24292E"/>
          <w:sz w:val="21"/>
          <w:szCs w:val="21"/>
          <w:highlight w:val="white"/>
        </w:rPr>
        <w:t xml:space="preserve">] I do not think that new descriptors are needed to minimize the data width by 1 bit (all "Uncertainty in..") </w:t>
      </w:r>
    </w:p>
    <w:p w14:paraId="4B5D6490" w14:textId="77777777" w:rsidR="009A77D6" w:rsidRDefault="009A77D6">
      <w:pPr>
        <w:rPr>
          <w:color w:val="FF0000"/>
          <w:sz w:val="21"/>
          <w:szCs w:val="21"/>
          <w:highlight w:val="white"/>
        </w:rPr>
      </w:pPr>
    </w:p>
    <w:p w14:paraId="58E7B5A3" w14:textId="77777777" w:rsidR="009A77D6" w:rsidRDefault="0093162A">
      <w:pPr>
        <w:rPr>
          <w:color w:val="FF0000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Agreed - the template has been updated to use the original descriptors 015 066 and 015 068 as they are fit for purpose</w:t>
      </w:r>
      <w:r>
        <w:rPr>
          <w:color w:val="FF0000"/>
          <w:sz w:val="21"/>
          <w:szCs w:val="21"/>
          <w:highlight w:val="white"/>
        </w:rPr>
        <w:t xml:space="preserve"> </w:t>
      </w:r>
    </w:p>
    <w:p w14:paraId="4C301970" w14:textId="77777777" w:rsidR="009A77D6" w:rsidRDefault="009A77D6">
      <w:pPr>
        <w:rPr>
          <w:color w:val="FF0000"/>
          <w:sz w:val="21"/>
          <w:szCs w:val="21"/>
          <w:highlight w:val="white"/>
        </w:rPr>
      </w:pPr>
    </w:p>
    <w:p w14:paraId="6C4CB4C0" w14:textId="77777777" w:rsidR="009A77D6" w:rsidRDefault="0093162A">
      <w:pPr>
        <w:numPr>
          <w:ilvl w:val="0"/>
          <w:numId w:val="1"/>
        </w:numPr>
        <w:rPr>
          <w:color w:val="24292E"/>
          <w:sz w:val="21"/>
          <w:szCs w:val="21"/>
          <w:highlight w:val="white"/>
        </w:rPr>
      </w:pPr>
      <w:r>
        <w:rPr>
          <w:color w:val="24292E"/>
          <w:sz w:val="21"/>
          <w:szCs w:val="21"/>
          <w:highlight w:val="white"/>
        </w:rPr>
        <w:t>[</w:t>
      </w:r>
      <w:proofErr w:type="spellStart"/>
      <w:r>
        <w:rPr>
          <w:color w:val="24292E"/>
          <w:sz w:val="21"/>
          <w:szCs w:val="21"/>
          <w:highlight w:val="white"/>
        </w:rPr>
        <w:t>SibylleK</w:t>
      </w:r>
      <w:proofErr w:type="spellEnd"/>
      <w:r>
        <w:rPr>
          <w:color w:val="24292E"/>
          <w:sz w:val="21"/>
          <w:szCs w:val="21"/>
          <w:highlight w:val="white"/>
        </w:rPr>
        <w:t>] 3 0</w:t>
      </w:r>
      <w:r>
        <w:rPr>
          <w:color w:val="24292E"/>
          <w:sz w:val="21"/>
          <w:szCs w:val="21"/>
          <w:highlight w:val="white"/>
        </w:rPr>
        <w:t xml:space="preserve">1 032 for "Common header sequence" </w:t>
      </w:r>
      <w:proofErr w:type="gramStart"/>
      <w:r>
        <w:rPr>
          <w:color w:val="24292E"/>
          <w:sz w:val="21"/>
          <w:szCs w:val="21"/>
          <w:highlight w:val="white"/>
        </w:rPr>
        <w:t>has to</w:t>
      </w:r>
      <w:proofErr w:type="gramEnd"/>
      <w:r>
        <w:rPr>
          <w:color w:val="24292E"/>
          <w:sz w:val="21"/>
          <w:szCs w:val="21"/>
          <w:highlight w:val="white"/>
        </w:rPr>
        <w:t xml:space="preserve"> be changed, because it already exists. </w:t>
      </w:r>
      <w:proofErr w:type="gramStart"/>
      <w:r>
        <w:rPr>
          <w:color w:val="24292E"/>
          <w:sz w:val="21"/>
          <w:szCs w:val="21"/>
          <w:highlight w:val="white"/>
        </w:rPr>
        <w:t>But,</w:t>
      </w:r>
      <w:proofErr w:type="gramEnd"/>
      <w:r>
        <w:rPr>
          <w:color w:val="24292E"/>
          <w:sz w:val="21"/>
          <w:szCs w:val="21"/>
          <w:highlight w:val="white"/>
        </w:rPr>
        <w:t xml:space="preserve"> it seems to be a typo and should be 3 01 132. </w:t>
      </w:r>
    </w:p>
    <w:p w14:paraId="55BF2C80" w14:textId="77777777" w:rsidR="009A77D6" w:rsidRDefault="009A77D6">
      <w:pPr>
        <w:ind w:left="720"/>
        <w:rPr>
          <w:b/>
          <w:sz w:val="21"/>
          <w:szCs w:val="21"/>
          <w:highlight w:val="white"/>
        </w:rPr>
      </w:pPr>
    </w:p>
    <w:p w14:paraId="221B02FE" w14:textId="77777777" w:rsidR="009A77D6" w:rsidRDefault="0093162A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This should read 3 01 132 and has been corrected in latest version </w:t>
      </w:r>
    </w:p>
    <w:p w14:paraId="014E919C" w14:textId="77777777" w:rsidR="009A77D6" w:rsidRDefault="009A77D6">
      <w:pPr>
        <w:ind w:left="720"/>
        <w:rPr>
          <w:sz w:val="21"/>
          <w:szCs w:val="21"/>
          <w:highlight w:val="white"/>
        </w:rPr>
      </w:pPr>
    </w:p>
    <w:p w14:paraId="3E34BE27" w14:textId="77777777" w:rsidR="009A77D6" w:rsidRDefault="0093162A">
      <w:pPr>
        <w:numPr>
          <w:ilvl w:val="0"/>
          <w:numId w:val="1"/>
        </w:numPr>
        <w:rPr>
          <w:color w:val="24292E"/>
          <w:sz w:val="21"/>
          <w:szCs w:val="21"/>
          <w:highlight w:val="white"/>
        </w:rPr>
      </w:pPr>
      <w:r>
        <w:rPr>
          <w:color w:val="24292E"/>
          <w:sz w:val="21"/>
          <w:szCs w:val="21"/>
          <w:highlight w:val="white"/>
        </w:rPr>
        <w:t>[</w:t>
      </w:r>
      <w:proofErr w:type="spellStart"/>
      <w:r>
        <w:rPr>
          <w:color w:val="24292E"/>
          <w:sz w:val="21"/>
          <w:szCs w:val="21"/>
          <w:highlight w:val="white"/>
        </w:rPr>
        <w:t>jitsukoh</w:t>
      </w:r>
      <w:proofErr w:type="spellEnd"/>
      <w:r>
        <w:rPr>
          <w:color w:val="24292E"/>
          <w:sz w:val="21"/>
          <w:szCs w:val="21"/>
          <w:highlight w:val="white"/>
        </w:rPr>
        <w:t>] How to calculate the uncertainty in the AL</w:t>
      </w:r>
      <w:r>
        <w:rPr>
          <w:color w:val="24292E"/>
          <w:sz w:val="21"/>
          <w:szCs w:val="21"/>
          <w:highlight w:val="white"/>
        </w:rPr>
        <w:t>C template?</w:t>
      </w:r>
    </w:p>
    <w:p w14:paraId="086FA5A8" w14:textId="77777777" w:rsidR="009A77D6" w:rsidRDefault="009A77D6">
      <w:pPr>
        <w:rPr>
          <w:sz w:val="21"/>
          <w:szCs w:val="21"/>
          <w:u w:val="single"/>
        </w:rPr>
      </w:pPr>
    </w:p>
    <w:p w14:paraId="3E32C18C" w14:textId="77777777" w:rsidR="009A77D6" w:rsidRDefault="0093162A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Comment</w:t>
      </w:r>
    </w:p>
    <w:p w14:paraId="3C37F572" w14:textId="77777777" w:rsidR="009A77D6" w:rsidRDefault="0093162A">
      <w:pPr>
        <w:rPr>
          <w:sz w:val="21"/>
          <w:szCs w:val="21"/>
        </w:rPr>
      </w:pPr>
      <w:r>
        <w:rPr>
          <w:sz w:val="21"/>
          <w:szCs w:val="21"/>
        </w:rPr>
        <w:t>The following brief description provides the roadmap to obtain uncertainty estimates for ALC products. On the E-PROFILE hub, the uncertainty estimation is not yet operationally implemented but is planned to be deployed during the curre</w:t>
      </w:r>
      <w:r>
        <w:rPr>
          <w:sz w:val="21"/>
          <w:szCs w:val="21"/>
        </w:rPr>
        <w:t>nt program phase (until 2023).</w:t>
      </w:r>
    </w:p>
    <w:p w14:paraId="49CFEB3C" w14:textId="77777777" w:rsidR="009A77D6" w:rsidRDefault="0093162A">
      <w:pPr>
        <w:rPr>
          <w:sz w:val="21"/>
          <w:szCs w:val="21"/>
        </w:rPr>
      </w:pPr>
      <w:r>
        <w:rPr>
          <w:sz w:val="21"/>
          <w:szCs w:val="21"/>
          <w:u w:val="single"/>
        </w:rPr>
        <w:t>Methodology</w:t>
      </w:r>
      <w:r>
        <w:rPr>
          <w:sz w:val="21"/>
          <w:szCs w:val="21"/>
        </w:rPr>
        <w:t>:</w:t>
      </w:r>
    </w:p>
    <w:p w14:paraId="488027F3" w14:textId="77777777" w:rsidR="009A77D6" w:rsidRDefault="0093162A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Attenuated backscatter coefficient: for this product, Gaussian error propagation can be applied.</w:t>
      </w:r>
    </w:p>
    <w:p w14:paraId="7789763B" w14:textId="77777777" w:rsidR="009A77D6" w:rsidRDefault="0093162A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Higher order products (backscatter and extinction coefficient, depolarization ratio): Monte Carlo simulation</w:t>
      </w:r>
    </w:p>
    <w:p w14:paraId="6F89B748" w14:textId="77777777" w:rsidR="009A77D6" w:rsidRDefault="0093162A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Source</w:t>
      </w:r>
      <w:r>
        <w:rPr>
          <w:sz w:val="21"/>
          <w:szCs w:val="21"/>
          <w:u w:val="single"/>
        </w:rPr>
        <w:t>s of uncertainty for attenuated backscatter coefficient:</w:t>
      </w:r>
    </w:p>
    <w:p w14:paraId="11493D1F" w14:textId="77777777" w:rsidR="009A77D6" w:rsidRDefault="0093162A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Measurement noise: In case of analogue detection, analysis of the variability of the measured raw profiles within a time range 5-15 min. Assuming stable atmospheric conditions over such a short time </w:t>
      </w:r>
      <w:r>
        <w:rPr>
          <w:rFonts w:ascii="Times New Roman" w:eastAsia="Times New Roman" w:hAnsi="Times New Roman" w:cs="Times New Roman"/>
          <w:sz w:val="24"/>
          <w:szCs w:val="24"/>
        </w:rPr>
        <w:t>period, profiles of standard deviation indicate the expected uncertainty in the measurements. In case of photon-counting instruments the measurement noise can be calculated directly using Poisson statistics.</w:t>
      </w:r>
    </w:p>
    <w:p w14:paraId="41BA7A65" w14:textId="77777777" w:rsidR="009A77D6" w:rsidRDefault="0093162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Calibration</w:t>
      </w:r>
    </w:p>
    <w:p w14:paraId="29F64E02" w14:textId="77777777" w:rsidR="009A77D6" w:rsidRDefault="0093162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of cloud calibration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O’Connor et al, 2004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Hopkin et al, 2019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91B69FB" w14:textId="77777777" w:rsidR="009A77D6" w:rsidRDefault="0093162A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 scattering</w:t>
      </w:r>
    </w:p>
    <w:p w14:paraId="5BBDB86B" w14:textId="77777777" w:rsidR="009A77D6" w:rsidRDefault="0093162A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Signal saturation (photon-counting instruments only)</w:t>
      </w:r>
    </w:p>
    <w:p w14:paraId="1858D2D7" w14:textId="77777777" w:rsidR="009A77D6" w:rsidRDefault="0093162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of Rayleigh calibration (</w:t>
      </w:r>
      <w:proofErr w:type="spellStart"/>
      <w:r>
        <w:fldChar w:fldCharType="begin"/>
      </w:r>
      <w:r>
        <w:instrText xml:space="preserve"> HYPERLINK "https://doi.org/10.5194/amt-5-1953-2012"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Wiegner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Geiß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, 2012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9D4026" w14:textId="77777777" w:rsidR="009A77D6" w:rsidRDefault="0093162A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Signal noise</w:t>
      </w:r>
    </w:p>
    <w:p w14:paraId="05B2B492" w14:textId="77777777" w:rsidR="009A77D6" w:rsidRDefault="0093162A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Atmospheric transmission due to aerosols (lidar ratio assumption)</w:t>
      </w:r>
    </w:p>
    <w:p w14:paraId="33C5F272" w14:textId="77777777" w:rsidR="009A77D6" w:rsidRDefault="0093162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Water vapor absorption (</w:t>
      </w:r>
      <w:proofErr w:type="spellStart"/>
      <w:r>
        <w:fldChar w:fldCharType="begin"/>
      </w:r>
      <w:r>
        <w:instrText xml:space="preserve"> HYPERLINK "https://doi.org/10.5194/amt-8-3971-2015"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Wiegner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Gasteiger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2015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Wiegner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et al. 2019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for instruments in 905-910 nm range</w:t>
      </w:r>
    </w:p>
    <w:p w14:paraId="4BF2DC1A" w14:textId="77777777" w:rsidR="009A77D6" w:rsidRDefault="0093162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Overlap-correction (</w:t>
      </w:r>
      <w:proofErr w:type="spellStart"/>
      <w:r>
        <w:fldChar w:fldCharType="begin"/>
      </w:r>
      <w:r>
        <w:instrText xml:space="preserve"> HYPERLINK "https://doi.org/10.5194/amt-9-3769-2016"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Kotthaus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et al, 2016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Hervo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et al. 2016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F29F5F" w14:textId="77777777" w:rsidR="009A77D6" w:rsidRDefault="0093162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Signal artefacts in free troposphere (</w:t>
      </w:r>
      <w:proofErr w:type="spellStart"/>
      <w:r>
        <w:fldChar w:fldCharType="begin"/>
      </w:r>
      <w:r>
        <w:instrText xml:space="preserve"> HYPERLINK "https://doi.org/10.5194/amt-9-3769-2016"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Kotthaus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et al, 2016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): significant mostly in case of analog signal detection</w:t>
      </w:r>
    </w:p>
    <w:p w14:paraId="7CD8D5C0" w14:textId="77777777" w:rsidR="009A77D6" w:rsidRDefault="0093162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Additional sources of uncertainty for extinction and backscatter coefficient:</w:t>
      </w:r>
    </w:p>
    <w:p w14:paraId="258D2994" w14:textId="77777777" w:rsidR="009A77D6" w:rsidRDefault="0093162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Lidar ratio assumption</w:t>
      </w:r>
    </w:p>
    <w:p w14:paraId="3380CBF0" w14:textId="77777777" w:rsidR="009A77D6" w:rsidRDefault="0093162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Uncertainty in Depol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arization Ratio (correct: volume linear depolarization ratio)</w:t>
      </w:r>
    </w:p>
    <w:p w14:paraId="6F1C805D" w14:textId="77777777" w:rsidR="009A77D6" w:rsidRDefault="00931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Beside statistical uncertainties (comparable to statistical uncertainty of attenuated backscatter), the accuracy of the depolarization ratio can be affected by several sources of systematic unce</w:t>
      </w:r>
      <w:r>
        <w:rPr>
          <w:rFonts w:ascii="Times New Roman" w:eastAsia="Times New Roman" w:hAnsi="Times New Roman" w:cs="Times New Roman"/>
          <w:sz w:val="24"/>
          <w:szCs w:val="24"/>
        </w:rPr>
        <w:t>rtainties (</w:t>
      </w:r>
      <w:proofErr w:type="spellStart"/>
      <w:r>
        <w:fldChar w:fldCharType="begin"/>
      </w:r>
      <w:r>
        <w:instrText xml:space="preserve"> HYPERLINK "https://doi.org/10.5194/amt-9-4181-2016"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Freudenthaler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2016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Bravo-Aranda et al., 2016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75693F" w14:textId="77777777" w:rsidR="009A77D6" w:rsidRDefault="0093162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Calibration</w:t>
      </w:r>
    </w:p>
    <w:p w14:paraId="3A535A4C" w14:textId="77777777" w:rsidR="009A77D6" w:rsidRDefault="0093162A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Rayleigh calibration (</w:t>
      </w:r>
      <w:proofErr w:type="spellStart"/>
      <w:r>
        <w:fldChar w:fldCharType="begin"/>
      </w:r>
      <w:r>
        <w:instrText xml:space="preserve"> HYPERLINK "https://doi.org/10.1364/AO.41.007657"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Beherendt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and Nakamura, 2002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): if filter bandwidth is not known correctly and temperature dependence of Rayleigh scattering is not taken into account, errors can be up to 10%</w:t>
      </w:r>
    </w:p>
    <w:p w14:paraId="2ABBE93B" w14:textId="77777777" w:rsidR="009A77D6" w:rsidRDefault="0093162A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∆</w:t>
      </w:r>
      <w:r>
        <w:rPr>
          <w:rFonts w:ascii="Gungsuh" w:eastAsia="Gungsuh" w:hAnsi="Gungsuh" w:cs="Gungsuh"/>
          <w:sz w:val="24"/>
          <w:szCs w:val="24"/>
        </w:rPr>
        <w:t>90 calibration (</w:t>
      </w:r>
      <w:proofErr w:type="spellStart"/>
      <w:r>
        <w:fldChar w:fldCharType="begin"/>
      </w:r>
      <w:r>
        <w:instrText xml:space="preserve"> HYPERLI</w:instrText>
      </w:r>
      <w:r>
        <w:instrText xml:space="preserve">NK "https://doi.org/10.5194/amt-9-4181-2016"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Freudenthaler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2016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EF4B30" w14:textId="77777777" w:rsidR="009A77D6" w:rsidRDefault="0093162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Diattenuation of receiving optics and polarizing beam splitters</w:t>
      </w:r>
    </w:p>
    <w:p w14:paraId="4824203E" w14:textId="77777777" w:rsidR="009A77D6" w:rsidRDefault="0093162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Retardance of emitting and receiving optics</w:t>
      </w:r>
    </w:p>
    <w:p w14:paraId="2CF5C005" w14:textId="77777777" w:rsidR="009A77D6" w:rsidRDefault="0093162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Rotational misalignment between plane of polarization of the laser and incident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plane of polarization beam splitter</w:t>
      </w:r>
    </w:p>
    <w:p w14:paraId="6AD43CF5" w14:textId="77777777" w:rsidR="009A77D6" w:rsidRDefault="009A77D6">
      <w:pPr>
        <w:rPr>
          <w:rFonts w:ascii="Times New Roman" w:eastAsia="Times New Roman" w:hAnsi="Times New Roman" w:cs="Times New Roman"/>
          <w:color w:val="24292E"/>
          <w:sz w:val="24"/>
          <w:szCs w:val="24"/>
          <w:shd w:val="clear" w:color="auto" w:fill="D9EAD3"/>
        </w:rPr>
      </w:pPr>
    </w:p>
    <w:p w14:paraId="6B33653C" w14:textId="77777777" w:rsidR="009A77D6" w:rsidRDefault="009A77D6">
      <w:pPr>
        <w:rPr>
          <w:rFonts w:ascii="Times New Roman" w:eastAsia="Times New Roman" w:hAnsi="Times New Roman" w:cs="Times New Roman"/>
          <w:color w:val="24292E"/>
          <w:sz w:val="24"/>
          <w:szCs w:val="24"/>
          <w:shd w:val="clear" w:color="auto" w:fill="D9EAD3"/>
        </w:rPr>
      </w:pPr>
    </w:p>
    <w:p w14:paraId="2DBF8DBC" w14:textId="77777777" w:rsidR="009A77D6" w:rsidRDefault="0093162A">
      <w:pPr>
        <w:numPr>
          <w:ilvl w:val="0"/>
          <w:numId w:val="1"/>
        </w:numPr>
        <w:rPr>
          <w:color w:val="24292E"/>
          <w:sz w:val="21"/>
          <w:szCs w:val="21"/>
          <w:highlight w:val="white"/>
        </w:rPr>
      </w:pPr>
      <w:r>
        <w:rPr>
          <w:color w:val="24292E"/>
          <w:sz w:val="21"/>
          <w:szCs w:val="21"/>
          <w:highlight w:val="white"/>
        </w:rPr>
        <w:t>[</w:t>
      </w:r>
      <w:proofErr w:type="spellStart"/>
      <w:r>
        <w:rPr>
          <w:color w:val="24292E"/>
          <w:sz w:val="21"/>
          <w:szCs w:val="21"/>
          <w:highlight w:val="white"/>
        </w:rPr>
        <w:t>Marijana</w:t>
      </w:r>
      <w:proofErr w:type="spellEnd"/>
      <w:r>
        <w:rPr>
          <w:color w:val="24292E"/>
          <w:sz w:val="21"/>
          <w:szCs w:val="21"/>
          <w:highlight w:val="white"/>
        </w:rPr>
        <w:t xml:space="preserve"> </w:t>
      </w:r>
      <w:proofErr w:type="spellStart"/>
      <w:r>
        <w:rPr>
          <w:color w:val="24292E"/>
          <w:sz w:val="21"/>
          <w:szCs w:val="21"/>
          <w:highlight w:val="white"/>
        </w:rPr>
        <w:t>Crepulja</w:t>
      </w:r>
      <w:proofErr w:type="spellEnd"/>
      <w:r>
        <w:rPr>
          <w:color w:val="24292E"/>
          <w:sz w:val="21"/>
          <w:szCs w:val="21"/>
          <w:highlight w:val="white"/>
        </w:rPr>
        <w:t xml:space="preserve">] </w:t>
      </w:r>
      <w: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  <w:t>I have a question regarding 0 33 002. Does quality information (0 33 002) refer to u, v, w component respectively in the new sequence 3 09 024? Similar in the sequence 3 09 025, quality information</w:t>
      </w:r>
      <w: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  <w:t xml:space="preserve"> (0 33 002) refers to virtual temperature and w component respectively? When comes to sequence 3 09 026, does quality information (0 33 002) refer to entire message or? </w:t>
      </w:r>
    </w:p>
    <w:p w14:paraId="28AD1E2B" w14:textId="77777777" w:rsidR="009A77D6" w:rsidRDefault="009A77D6">
      <w:pPr>
        <w:ind w:left="1440"/>
        <w:rPr>
          <w:rFonts w:ascii="Times New Roman" w:eastAsia="Times New Roman" w:hAnsi="Times New Roman" w:cs="Times New Roman"/>
          <w:color w:val="FF9900"/>
          <w:sz w:val="24"/>
          <w:szCs w:val="24"/>
          <w:highlight w:val="white"/>
        </w:rPr>
      </w:pPr>
    </w:p>
    <w:p w14:paraId="146B2C4B" w14:textId="77777777" w:rsidR="009A77D6" w:rsidRDefault="009A77D6">
      <w:pPr>
        <w:ind w:left="720"/>
        <w:rPr>
          <w:rFonts w:ascii="Times New Roman" w:eastAsia="Times New Roman" w:hAnsi="Times New Roman" w:cs="Times New Roman"/>
          <w:color w:val="FF9900"/>
          <w:sz w:val="24"/>
          <w:szCs w:val="24"/>
          <w:highlight w:val="white"/>
        </w:rPr>
      </w:pPr>
    </w:p>
    <w:tbl>
      <w:tblPr>
        <w:tblStyle w:val="a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09"/>
        <w:gridCol w:w="1809"/>
        <w:gridCol w:w="3932"/>
      </w:tblGrid>
      <w:tr w:rsidR="009A77D6" w14:paraId="0D923E94" w14:textId="77777777">
        <w:trPr>
          <w:trHeight w:val="45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F676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F610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0 11 003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C4E9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1DA7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u-component </w:t>
            </w:r>
          </w:p>
        </w:tc>
      </w:tr>
      <w:tr w:rsidR="009A77D6" w14:paraId="1EDB58F8" w14:textId="77777777">
        <w:trPr>
          <w:trHeight w:val="45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5C01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5A99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0 11 004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56F5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B165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v-component </w:t>
            </w:r>
          </w:p>
        </w:tc>
      </w:tr>
      <w:tr w:rsidR="009A77D6" w14:paraId="3D18BEA3" w14:textId="77777777">
        <w:trPr>
          <w:trHeight w:val="45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DD6F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E622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0 33 002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7506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5CBF" w14:textId="77777777" w:rsidR="009A77D6" w:rsidRDefault="0093162A">
            <w:pPr>
              <w:jc w:val="center"/>
              <w:rPr>
                <w:sz w:val="20"/>
                <w:szCs w:val="20"/>
                <w:shd w:val="clear" w:color="auto" w:fill="FF9900"/>
              </w:rPr>
            </w:pPr>
            <w:r>
              <w:rPr>
                <w:sz w:val="20"/>
                <w:szCs w:val="20"/>
                <w:highlight w:val="white"/>
              </w:rPr>
              <w:t xml:space="preserve">Quality information </w:t>
            </w:r>
            <w:r>
              <w:rPr>
                <w:sz w:val="20"/>
                <w:szCs w:val="20"/>
                <w:shd w:val="clear" w:color="auto" w:fill="FF9900"/>
              </w:rPr>
              <w:t>of u/v horizontal wind components - relates to 3 09 024</w:t>
            </w:r>
          </w:p>
        </w:tc>
      </w:tr>
      <w:tr w:rsidR="009A77D6" w14:paraId="73FF0D0C" w14:textId="77777777">
        <w:trPr>
          <w:trHeight w:val="45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5658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53BA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0 11 006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AD74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45C2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w-component </w:t>
            </w:r>
          </w:p>
        </w:tc>
      </w:tr>
      <w:tr w:rsidR="009A77D6" w14:paraId="4BA63597" w14:textId="77777777">
        <w:trPr>
          <w:trHeight w:val="45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82F1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1B83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0 33 002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40C4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6051" w14:textId="77777777" w:rsidR="009A77D6" w:rsidRDefault="0093162A">
            <w:pPr>
              <w:jc w:val="center"/>
              <w:rPr>
                <w:sz w:val="20"/>
                <w:szCs w:val="20"/>
                <w:shd w:val="clear" w:color="auto" w:fill="FF9900"/>
              </w:rPr>
            </w:pPr>
            <w:r>
              <w:rPr>
                <w:sz w:val="20"/>
                <w:szCs w:val="20"/>
                <w:highlight w:val="white"/>
              </w:rPr>
              <w:t>Quality information (</w:t>
            </w:r>
            <w:r>
              <w:rPr>
                <w:sz w:val="20"/>
                <w:szCs w:val="20"/>
                <w:shd w:val="clear" w:color="auto" w:fill="FF9900"/>
              </w:rPr>
              <w:t xml:space="preserve">relates to vertical wind </w:t>
            </w:r>
            <w:proofErr w:type="gramStart"/>
            <w:r>
              <w:rPr>
                <w:sz w:val="20"/>
                <w:szCs w:val="20"/>
                <w:shd w:val="clear" w:color="auto" w:fill="FF9900"/>
              </w:rPr>
              <w:t>component)relates</w:t>
            </w:r>
            <w:proofErr w:type="gramEnd"/>
            <w:r>
              <w:rPr>
                <w:sz w:val="20"/>
                <w:szCs w:val="20"/>
                <w:shd w:val="clear" w:color="auto" w:fill="FF9900"/>
              </w:rPr>
              <w:t xml:space="preserve"> to 3 09 024 </w:t>
            </w:r>
          </w:p>
          <w:p w14:paraId="2464D759" w14:textId="77777777" w:rsidR="009A77D6" w:rsidRDefault="009A77D6">
            <w:pPr>
              <w:jc w:val="center"/>
              <w:rPr>
                <w:sz w:val="20"/>
                <w:szCs w:val="20"/>
                <w:shd w:val="clear" w:color="auto" w:fill="FF9900"/>
              </w:rPr>
            </w:pPr>
          </w:p>
        </w:tc>
      </w:tr>
      <w:tr w:rsidR="009A77D6" w14:paraId="566097AF" w14:textId="77777777">
        <w:trPr>
          <w:trHeight w:val="45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CDE7" w14:textId="77777777" w:rsidR="009A77D6" w:rsidRDefault="009A77D6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EDE8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0 12 007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D911" w14:textId="77777777" w:rsidR="009A77D6" w:rsidRDefault="009A77D6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1759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Virtual Temperature</w:t>
            </w:r>
          </w:p>
        </w:tc>
      </w:tr>
      <w:tr w:rsidR="009A77D6" w14:paraId="46D070DA" w14:textId="77777777">
        <w:trPr>
          <w:trHeight w:val="45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F335" w14:textId="77777777" w:rsidR="009A77D6" w:rsidRDefault="009A77D6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21E8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0 33 002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791A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C0A5" w14:textId="77777777" w:rsidR="009A77D6" w:rsidRDefault="0093162A">
            <w:pPr>
              <w:jc w:val="center"/>
              <w:rPr>
                <w:sz w:val="20"/>
                <w:szCs w:val="20"/>
                <w:shd w:val="clear" w:color="auto" w:fill="FF9900"/>
              </w:rPr>
            </w:pPr>
            <w:r>
              <w:rPr>
                <w:sz w:val="20"/>
                <w:szCs w:val="20"/>
                <w:highlight w:val="white"/>
              </w:rPr>
              <w:t xml:space="preserve">Quality information </w:t>
            </w:r>
            <w:r>
              <w:rPr>
                <w:sz w:val="20"/>
                <w:szCs w:val="20"/>
                <w:shd w:val="clear" w:color="auto" w:fill="FF9900"/>
              </w:rPr>
              <w:t>of virtual temperature relates to 3 09 025</w:t>
            </w:r>
          </w:p>
        </w:tc>
      </w:tr>
      <w:tr w:rsidR="009A77D6" w14:paraId="654EA43A" w14:textId="77777777">
        <w:trPr>
          <w:trHeight w:val="45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63F39" w14:textId="77777777" w:rsidR="009A77D6" w:rsidRDefault="009A77D6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5A5A" w14:textId="77777777" w:rsidR="009A77D6" w:rsidRDefault="0093162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0 33 002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1712" w14:textId="77777777" w:rsidR="009A77D6" w:rsidRDefault="009A77D6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E85A" w14:textId="77777777" w:rsidR="009A77D6" w:rsidRDefault="0093162A">
            <w:pPr>
              <w:jc w:val="center"/>
              <w:rPr>
                <w:sz w:val="20"/>
                <w:szCs w:val="20"/>
                <w:shd w:val="clear" w:color="auto" w:fill="FF9900"/>
              </w:rPr>
            </w:pPr>
            <w:r>
              <w:rPr>
                <w:sz w:val="20"/>
                <w:szCs w:val="20"/>
                <w:highlight w:val="white"/>
              </w:rPr>
              <w:t>Quality information -</w:t>
            </w:r>
            <w:r>
              <w:rPr>
                <w:sz w:val="20"/>
                <w:szCs w:val="20"/>
                <w:shd w:val="clear" w:color="auto" w:fill="FF9900"/>
              </w:rPr>
              <w:t xml:space="preserve"> overall quality flag for all parameters - related to 3 09 026</w:t>
            </w:r>
          </w:p>
        </w:tc>
      </w:tr>
    </w:tbl>
    <w:p w14:paraId="14FF35B1" w14:textId="77777777" w:rsidR="009A77D6" w:rsidRDefault="009A77D6">
      <w:pPr>
        <w:ind w:left="720"/>
        <w:rPr>
          <w:rFonts w:ascii="Times New Roman" w:eastAsia="Times New Roman" w:hAnsi="Times New Roman" w:cs="Times New Roman"/>
          <w:color w:val="FF9900"/>
          <w:sz w:val="24"/>
          <w:szCs w:val="24"/>
          <w:highlight w:val="white"/>
        </w:rPr>
      </w:pPr>
    </w:p>
    <w:p w14:paraId="1DBB7B01" w14:textId="77777777" w:rsidR="009A77D6" w:rsidRDefault="0093162A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</w:pPr>
      <w:r>
        <w:rPr>
          <w:color w:val="24292E"/>
          <w:sz w:val="21"/>
          <w:szCs w:val="21"/>
          <w:highlight w:val="white"/>
        </w:rPr>
        <w:t>[</w:t>
      </w:r>
      <w:proofErr w:type="spellStart"/>
      <w:r>
        <w:rPr>
          <w:color w:val="24292E"/>
          <w:sz w:val="21"/>
          <w:szCs w:val="21"/>
          <w:highlight w:val="white"/>
        </w:rPr>
        <w:t>Marijana</w:t>
      </w:r>
      <w:proofErr w:type="spellEnd"/>
      <w:r>
        <w:rPr>
          <w:color w:val="24292E"/>
          <w:sz w:val="21"/>
          <w:szCs w:val="21"/>
          <w:highlight w:val="white"/>
        </w:rPr>
        <w:t xml:space="preserve"> </w:t>
      </w:r>
      <w:proofErr w:type="spellStart"/>
      <w:r>
        <w:rPr>
          <w:color w:val="24292E"/>
          <w:sz w:val="21"/>
          <w:szCs w:val="21"/>
          <w:highlight w:val="white"/>
        </w:rPr>
        <w:t>Crepulja</w:t>
      </w:r>
      <w:proofErr w:type="spellEnd"/>
      <w:r>
        <w:rPr>
          <w:color w:val="24292E"/>
          <w:sz w:val="21"/>
          <w:szCs w:val="21"/>
          <w:highlight w:val="white"/>
        </w:rPr>
        <w:t xml:space="preserve">] </w:t>
      </w:r>
      <w: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  <w:t>I agree with</w:t>
      </w:r>
      <w:hyperlink r:id="rId13">
        <w:r>
          <w:rPr>
            <w:rFonts w:ascii="Times New Roman" w:eastAsia="Times New Roman" w:hAnsi="Times New Roman" w:cs="Times New Roman"/>
            <w:color w:val="24292E"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@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SibylleK</w:t>
        </w:r>
        <w:proofErr w:type="spellEnd"/>
      </w:hyperlink>
      <w: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  <w:t xml:space="preserve"> comments on the new descriptors for the uncertainties, as I believe we can use existing descriptors without introducing new elements for reducing data wi</w:t>
      </w:r>
      <w: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  <w:t xml:space="preserve">dth. When comes to new descriptors for introducing new reference value, we can use operator 203YYY and existing descriptors for this purpose. However, if there is an issue that 203 </w:t>
      </w:r>
      <w:proofErr w:type="gramStart"/>
      <w: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  <w:t>operator</w:t>
      </w:r>
      <w:proofErr w:type="gramEnd"/>
      <w: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  <w:t xml:space="preserve"> can cause trouble in some decoding software we can address this wi</w:t>
      </w:r>
      <w: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  <w:t xml:space="preserve">th new descriptors. </w:t>
      </w:r>
    </w:p>
    <w:p w14:paraId="3C6A9594" w14:textId="77777777" w:rsidR="009A77D6" w:rsidRDefault="009316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use of 203 YYY operator would not be appropriate (and not possible to do using the current E-PROFILE software without a major re-write). This is likely to have a downstream impact and cause issues when we start disseminating the me</w:t>
      </w:r>
      <w:r>
        <w:rPr>
          <w:sz w:val="24"/>
          <w:szCs w:val="24"/>
          <w:highlight w:val="white"/>
        </w:rPr>
        <w:t>ssages.</w:t>
      </w:r>
    </w:p>
    <w:p w14:paraId="5FF91BCA" w14:textId="77777777" w:rsidR="009A77D6" w:rsidRDefault="009A77D6">
      <w:pP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</w:pPr>
    </w:p>
    <w:p w14:paraId="72AC0A18" w14:textId="77777777" w:rsidR="009A77D6" w:rsidRDefault="009A77D6">
      <w:pPr>
        <w:rPr>
          <w:rFonts w:ascii="Times New Roman" w:eastAsia="Times New Roman" w:hAnsi="Times New Roman" w:cs="Times New Roman"/>
          <w:color w:val="24292E"/>
          <w:sz w:val="24"/>
          <w:szCs w:val="24"/>
          <w:highlight w:val="white"/>
        </w:rPr>
      </w:pPr>
    </w:p>
    <w:p w14:paraId="4D0C2245" w14:textId="77777777" w:rsidR="009A77D6" w:rsidRDefault="009A77D6">
      <w:pPr>
        <w:rPr>
          <w:rFonts w:ascii="Times New Roman" w:eastAsia="Times New Roman" w:hAnsi="Times New Roman" w:cs="Times New Roman"/>
          <w:color w:val="24292E"/>
          <w:sz w:val="24"/>
          <w:szCs w:val="24"/>
          <w:shd w:val="clear" w:color="auto" w:fill="D9EAD3"/>
        </w:rPr>
      </w:pPr>
    </w:p>
    <w:sectPr w:rsidR="009A77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D3BC2"/>
    <w:multiLevelType w:val="multilevel"/>
    <w:tmpl w:val="713ED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A56E7A"/>
    <w:multiLevelType w:val="multilevel"/>
    <w:tmpl w:val="168A25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0B08E4"/>
    <w:multiLevelType w:val="multilevel"/>
    <w:tmpl w:val="75F6F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E53E8F"/>
    <w:multiLevelType w:val="multilevel"/>
    <w:tmpl w:val="8D1AB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9525BC"/>
    <w:multiLevelType w:val="multilevel"/>
    <w:tmpl w:val="BEBE1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D6"/>
    <w:rsid w:val="0093162A"/>
    <w:rsid w:val="009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8348"/>
  <w15:docId w15:val="{02F27ABE-8122-40DB-8BFA-C2CBA798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5/1520-0426(2004)021%3C0777:ATFAOC%3E2.0.CO;2" TargetMode="External"/><Relationship Id="rId13" Type="http://schemas.openxmlformats.org/officeDocument/2006/relationships/hyperlink" Target="https://github.com/Sibylle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5194/amt-9-4935-20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5194/amt-9-2947-201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5194/amt-12-471-20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5194/amt-12-4131-2019" TargetMode="External"/><Relationship Id="rId14" Type="http://schemas.openxmlformats.org/officeDocument/2006/relationships/hyperlink" Target="https://github.com/Sibyl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29D3C7B92654E91E0BACE58CAB3FC" ma:contentTypeVersion="13" ma:contentTypeDescription="Create a new document." ma:contentTypeScope="" ma:versionID="766a1a0d290141cde4cfcf6cf4288ecd">
  <xsd:schema xmlns:xsd="http://www.w3.org/2001/XMLSchema" xmlns:xs="http://www.w3.org/2001/XMLSchema" xmlns:p="http://schemas.microsoft.com/office/2006/metadata/properties" xmlns:ns1="http://schemas.microsoft.com/sharepoint/v3" xmlns:ns3="39e328b5-fd55-4aa2-9335-b42da031234f" xmlns:ns4="d5f456a8-998e-4615-8aa7-08c9413f4944" targetNamespace="http://schemas.microsoft.com/office/2006/metadata/properties" ma:root="true" ma:fieldsID="f2fad9cf4734840a4ccbff5018667b74" ns1:_="" ns3:_="" ns4:_="">
    <xsd:import namespace="http://schemas.microsoft.com/sharepoint/v3"/>
    <xsd:import namespace="39e328b5-fd55-4aa2-9335-b42da031234f"/>
    <xsd:import namespace="d5f456a8-998e-4615-8aa7-08c9413f4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328b5-fd55-4aa2-9335-b42da0312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56a8-998e-4615-8aa7-08c9413f4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A6B44-86AE-4D4B-8B66-D5A0F9BB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e328b5-fd55-4aa2-9335-b42da031234f"/>
    <ds:schemaRef ds:uri="d5f456a8-998e-4615-8aa7-08c9413f4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FBFAB-48FE-4790-8FB5-904232EAE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94E2F-8F4A-42F4-8424-CA2FED7634E2}">
  <ds:schemaRefs>
    <ds:schemaRef ds:uri="http://purl.org/dc/dcmitype/"/>
    <ds:schemaRef ds:uri="39e328b5-fd55-4aa2-9335-b42da03123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5f456a8-998e-4615-8aa7-08c9413f49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Weedon, Richard</cp:lastModifiedBy>
  <cp:revision>2</cp:revision>
  <dcterms:created xsi:type="dcterms:W3CDTF">2020-06-24T13:07:00Z</dcterms:created>
  <dcterms:modified xsi:type="dcterms:W3CDTF">2020-06-24T13:07:00Z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0x0101006E929D3C7B92654E91E0BACE58CAB3FC</vt:lpwstr>
  </property>
</Properties>
</file>