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C00 — GRIB, BUFR and CREX master table version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BUFR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Effective date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Experimental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 de noviembre de 1988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 de noviembre de 1993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de noviembre de 1994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de noviembre de 1995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de noviembre de 1996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de noviembre de 1997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de noviembre de 1998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de mayo de 2000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de noviembre de 2000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de noviembre de 2001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de noviembre de 2003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de noviembre 2005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de noviembre de 2007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de noviembre de 2009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de septiembre de 2010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de mayo de 2011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de noviembre de 2011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de mayo de 2012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de noviembre de 2012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de mayo de 2013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 de noviembre de 2013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de mayo de 2014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de noviembre de 2014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de mayo de 2015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 de noviembre de 2015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de mayo de 2016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de noviembre de 2016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de mayo de 2017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de noviembre de 2017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de mayo de 2018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de noviembre de 2018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de mayo de 2019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de noviembre de 2019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de mayo de 2020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 de noviembre de 2020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de junio de 2021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Versiones futuras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Faltante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