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Type of relationship to reference dataset</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Anomaly</w:t>
            </w:r>
          </w:p>
        </w:tc>
        <w:tc>
          <w:tcPr>
            <w:tcW w:type="dxa" w:w="5046"/>
          </w:tcPr>
          <w:p>
            <w:r/>
            <w:r>
              <w:rPr>
                <w:rFonts w:ascii="Arial" w:hAnsi="Arial"/>
                <w:b w:val="0"/>
                <w:sz w:val="16"/>
              </w:rPr>
              <w:t>Note 135: No additional parameter needed, NA in templates 4.105, 4.106 and 4.107 should be set to 0.</w:t>
            </w:r>
          </w:p>
        </w:tc>
      </w:tr>
      <w:tr>
        <w:tc>
          <w:tcPr>
            <w:tcW w:type="dxa" w:w="5046"/>
          </w:tcPr>
          <w:p>
            <w:r/>
            <w:r>
              <w:rPr>
                <w:rFonts w:ascii="Arial" w:hAnsi="Arial"/>
                <w:b w:val="0"/>
                <w:sz w:val="16"/>
              </w:rPr>
              <w:t>1</w:t>
            </w:r>
          </w:p>
        </w:tc>
        <w:tc>
          <w:tcPr>
            <w:tcW w:type="dxa" w:w="5046"/>
          </w:tcPr>
          <w:p>
            <w:r/>
            <w:r>
              <w:rPr>
                <w:rFonts w:ascii="Arial" w:hAnsi="Arial"/>
                <w:b w:val="0"/>
                <w:sz w:val="16"/>
              </w:rPr>
              <w:t>Standardized anomaly</w:t>
            </w:r>
          </w:p>
        </w:tc>
        <w:tc>
          <w:tcPr>
            <w:tcW w:type="dxa" w:w="5046"/>
          </w:tcPr>
          <w:p>
            <w:r/>
            <w:r>
              <w:rPr>
                <w:rFonts w:ascii="Arial" w:hAnsi="Arial"/>
                <w:b w:val="0"/>
                <w:sz w:val="16"/>
              </w:rPr>
              <w:t>Note 135: No additional parameter needed, NA in templates 4.105, 4.106 and 4.107 should be set to 0.</w:t>
            </w:r>
          </w:p>
        </w:tc>
      </w:tr>
      <w:tr>
        <w:tc>
          <w:tcPr>
            <w:tcW w:type="dxa" w:w="5046"/>
          </w:tcPr>
          <w:p>
            <w:r/>
            <w:r>
              <w:rPr>
                <w:rFonts w:ascii="Arial" w:hAnsi="Arial"/>
                <w:b w:val="0"/>
                <w:sz w:val="16"/>
              </w:rPr>
              <w:t>2</w:t>
            </w:r>
          </w:p>
        </w:tc>
        <w:tc>
          <w:tcPr>
            <w:tcW w:type="dxa" w:w="5046"/>
          </w:tcPr>
          <w:p>
            <w:r/>
            <w:r>
              <w:rPr>
                <w:rFonts w:ascii="Arial" w:hAnsi="Arial"/>
                <w:b w:val="0"/>
                <w:sz w:val="16"/>
              </w:rPr>
              <w:t>Significance (Wilcoxon-Mann-Whitney)</w:t>
            </w:r>
          </w:p>
        </w:tc>
        <w:tc>
          <w:tcPr>
            <w:tcW w:type="dxa" w:w="5046"/>
          </w:tcPr>
          <w:p>
            <w:r/>
            <w:r>
              <w:rPr>
                <w:rFonts w:ascii="Arial" w:hAnsi="Arial"/>
                <w:b w:val="0"/>
                <w:sz w:val="16"/>
              </w:rPr>
              <w:t>Note 136: Confidence interval for the significance test is needed (NA=1).</w:t>
            </w:r>
          </w:p>
        </w:tc>
      </w:tr>
      <w:tr>
        <w:tc>
          <w:tcPr>
            <w:tcW w:type="dxa" w:w="5046"/>
          </w:tcPr>
          <w:p>
            <w:r/>
            <w:r>
              <w:rPr>
                <w:rFonts w:ascii="Arial" w:hAnsi="Arial"/>
                <w:b w:val="0"/>
                <w:sz w:val="16"/>
              </w:rPr>
              <w:t>3</w:t>
            </w:r>
          </w:p>
        </w:tc>
        <w:tc>
          <w:tcPr>
            <w:tcW w:type="dxa" w:w="5046"/>
          </w:tcPr>
          <w:p>
            <w:r/>
            <w:r>
              <w:rPr>
                <w:rFonts w:ascii="Arial" w:hAnsi="Arial"/>
                <w:b w:val="0"/>
                <w:sz w:val="16"/>
              </w:rPr>
              <w:t>Climatology</w:t>
            </w:r>
          </w:p>
        </w:tc>
        <w:tc>
          <w:tcPr>
            <w:tcW w:type="dxa" w:w="5046"/>
          </w:tcPr>
          <w:p>
            <w:r/>
            <w:r>
              <w:rPr>
                <w:rFonts w:ascii="Arial" w:hAnsi="Arial"/>
                <w:b w:val="0"/>
                <w:sz w:val="16"/>
              </w:rPr>
            </w:r>
          </w:p>
        </w:tc>
      </w:tr>
      <w:tr>
        <w:tc>
          <w:tcPr>
            <w:tcW w:type="dxa" w:w="5046"/>
          </w:tcPr>
          <w:p>
            <w:r/>
            <w:r>
              <w:rPr>
                <w:rFonts w:ascii="Arial" w:hAnsi="Arial"/>
                <w:b w:val="0"/>
                <w:sz w:val="16"/>
              </w:rPr>
              <w:t>4-19</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20</w:t>
            </w:r>
          </w:p>
        </w:tc>
        <w:tc>
          <w:tcPr>
            <w:tcW w:type="dxa" w:w="5046"/>
          </w:tcPr>
          <w:p>
            <w:r/>
            <w:r>
              <w:rPr>
                <w:rFonts w:ascii="Arial" w:hAnsi="Arial"/>
                <w:b w:val="0"/>
                <w:sz w:val="16"/>
              </w:rPr>
              <w:t>Extreme Forecast Index (EFI)</w:t>
            </w:r>
          </w:p>
        </w:tc>
        <w:tc>
          <w:tcPr>
            <w:tcW w:type="dxa" w:w="5046"/>
          </w:tcPr>
          <w:p>
            <w:r/>
            <w:r>
              <w:rPr>
                <w:rFonts w:ascii="Arial" w:hAnsi="Arial"/>
                <w:b w:val="0"/>
                <w:sz w:val="16"/>
              </w:rPr>
              <w:t>Note 137: EFI is defined in https://doi.org/10.1256/qj.02.152. No additional parameter needed (NA=0).</w:t>
            </w:r>
          </w:p>
        </w:tc>
      </w:tr>
      <w:tr>
        <w:tc>
          <w:tcPr>
            <w:tcW w:type="dxa" w:w="5046"/>
          </w:tcPr>
          <w:p>
            <w:r/>
            <w:r>
              <w:rPr>
                <w:rFonts w:ascii="Arial" w:hAnsi="Arial"/>
                <w:b w:val="0"/>
                <w:sz w:val="16"/>
              </w:rPr>
              <w:t>21</w:t>
            </w:r>
          </w:p>
        </w:tc>
        <w:tc>
          <w:tcPr>
            <w:tcW w:type="dxa" w:w="5046"/>
          </w:tcPr>
          <w:p>
            <w:r/>
            <w:r>
              <w:rPr>
                <w:rFonts w:ascii="Arial" w:hAnsi="Arial"/>
                <w:b w:val="0"/>
                <w:sz w:val="16"/>
              </w:rPr>
              <w:t>Shift of Tails (SOT)</w:t>
            </w:r>
          </w:p>
        </w:tc>
        <w:tc>
          <w:tcPr>
            <w:tcW w:type="dxa" w:w="5046"/>
          </w:tcPr>
          <w:p>
            <w:r/>
            <w:r>
              <w:rPr>
                <w:rFonts w:ascii="Arial" w:hAnsi="Arial"/>
                <w:b w:val="0"/>
                <w:sz w:val="16"/>
              </w:rPr>
              <w:t>Note 138: SOT is defined in https://doi.org/10.1256/qj.02.152. Lower and upper quantile used for the SOT need to be defined (NA=2) in this order: start of the tail (10 or 90 usually) then end of tail (1 or 99 respectively).</w:t>
            </w:r>
          </w:p>
        </w:tc>
      </w:tr>
      <w:tr>
        <w:tc>
          <w:tcPr>
            <w:tcW w:type="dxa" w:w="5046"/>
          </w:tcPr>
          <w:p>
            <w:r/>
            <w:r>
              <w:rPr>
                <w:rFonts w:ascii="Arial" w:hAnsi="Arial"/>
                <w:b w:val="0"/>
                <w:sz w:val="16"/>
              </w:rPr>
              <w:t>22</w:t>
            </w:r>
          </w:p>
        </w:tc>
        <w:tc>
          <w:tcPr>
            <w:tcW w:type="dxa" w:w="5046"/>
          </w:tcPr>
          <w:p>
            <w:r/>
            <w:r>
              <w:rPr>
                <w:rFonts w:ascii="Arial" w:hAnsi="Arial"/>
                <w:b w:val="0"/>
                <w:sz w:val="16"/>
              </w:rPr>
              <w:t>Anomaly of probabilities</w:t>
            </w:r>
          </w:p>
        </w:tc>
        <w:tc>
          <w:tcPr>
            <w:tcW w:type="dxa" w:w="5046"/>
          </w:tcPr>
          <w:p>
            <w:r/>
            <w:r>
              <w:rPr>
                <w:rFonts w:ascii="Arial" w:hAnsi="Arial"/>
                <w:b w:val="0"/>
                <w:sz w:val="16"/>
              </w:rPr>
              <w:t>Note 148: This entry is intended to be used with templates 4.112 and 4.123. Instead of having the probability of the exceedance of the anomaly (code number 0) of the limits specified in the message, it specifies probabilities which were calculated for the forecast and for the reference dataset with the given specification listed in the metadata. The anomaly is calculated between the two derived probabilities.</w:t>
            </w:r>
          </w:p>
        </w:tc>
      </w:tr>
      <w:tr>
        <w:tc>
          <w:tcPr>
            <w:tcW w:type="dxa" w:w="5046"/>
          </w:tcPr>
          <w:p>
            <w:r/>
            <w:r>
              <w:rPr>
                <w:rFonts w:ascii="Arial" w:hAnsi="Arial"/>
                <w:b w:val="0"/>
                <w:sz w:val="16"/>
              </w:rPr>
              <w:t>23</w:t>
            </w:r>
          </w:p>
        </w:tc>
        <w:tc>
          <w:tcPr>
            <w:tcW w:type="dxa" w:w="5046"/>
          </w:tcPr>
          <w:p>
            <w:r/>
            <w:r>
              <w:rPr>
                <w:rFonts w:ascii="Arial" w:hAnsi="Arial"/>
                <w:b w:val="0"/>
                <w:sz w:val="16"/>
              </w:rPr>
              <w:t>Standardized Drought Index</w:t>
            </w:r>
          </w:p>
        </w:tc>
        <w:tc>
          <w:tcPr>
            <w:tcW w:type="dxa" w:w="5046"/>
          </w:tcPr>
          <w:p>
            <w:r/>
            <w:r>
              <w:rPr>
                <w:rFonts w:ascii="Arial" w:hAnsi="Arial"/>
                <w:b w:val="0"/>
                <w:sz w:val="16"/>
              </w:rPr>
              <w:t>Note 147: Descriptions of the drought indices in discipline 0, Meteorological products, category 22 are available in the Handbook of Drought Indicators and Indices (WMO-No. 1173) [https://library.wmo.int/idurl/4/55169]. The indices are specified by setting discipline and parameter category/number to the specific index to be encoded. Drought indicators are calculated over different time ranges, prescribed by the 'Length of time range' and 'Indicator of unit for time range' parameters in templates 4.107, 4.108, 4.109 and 4.112. All standardized drought indices are calculated according to the Standardized Precipitation Index User Guide (WMO-No. 1090)[https://library.wmo.int/idurl/4/39629].</w:t>
            </w:r>
          </w:p>
        </w:tc>
      </w:tr>
      <w:tr>
        <w:tc>
          <w:tcPr>
            <w:tcW w:type="dxa" w:w="5046"/>
          </w:tcPr>
          <w:p>
            <w:r/>
            <w:r>
              <w:rPr>
                <w:rFonts w:ascii="Arial" w:hAnsi="Arial"/>
                <w:b w:val="0"/>
                <w:sz w:val="16"/>
              </w:rPr>
              <w:t>24</w:t>
            </w:r>
          </w:p>
        </w:tc>
        <w:tc>
          <w:tcPr>
            <w:tcW w:type="dxa" w:w="5046"/>
          </w:tcPr>
          <w:p>
            <w:r/>
            <w:r>
              <w:rPr>
                <w:rFonts w:ascii="Arial" w:hAnsi="Arial"/>
                <w:b w:val="0"/>
                <w:sz w:val="16"/>
              </w:rPr>
              <w:t>Crossing Point Forecast (CPF)</w:t>
            </w:r>
          </w:p>
        </w:tc>
        <w:tc>
          <w:tcPr>
            <w:tcW w:type="dxa" w:w="5046"/>
          </w:tcPr>
          <w:p>
            <w:r/>
            <w:r>
              <w:rPr>
                <w:rFonts w:ascii="Arial" w:hAnsi="Arial"/>
                <w:b w:val="0"/>
                <w:sz w:val="16"/>
              </w:rPr>
              <w:t>Note 162: Ben Bouallègue, Z. On the Verification of the Crossing-point Forecast. Tellus A: Dynamic Meteorology and Oceanography 2021, 73 (1), 1-10. https://doi.org/10.1080/16000870.2021.1913007.</w:t>
            </w:r>
          </w:p>
        </w:tc>
      </w:tr>
      <w:tr>
        <w:tc>
          <w:tcPr>
            <w:tcW w:type="dxa" w:w="5046"/>
          </w:tcPr>
          <w:p>
            <w:r/>
            <w:r>
              <w:rPr>
                <w:rFonts w:ascii="Arial" w:hAnsi="Arial"/>
                <w:b w:val="0"/>
                <w:sz w:val="16"/>
              </w:rPr>
              <w:t>25-191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