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Type of statistical processing</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Average</w:t>
            </w:r>
          </w:p>
        </w:tc>
        <w:tc>
          <w:tcPr>
            <w:tcW w:type="dxa" w:w="5046"/>
          </w:tcPr>
          <w:p>
            <w:r/>
            <w:r>
              <w:rPr>
                <w:rFonts w:ascii="Arial" w:hAnsi="Arial"/>
                <w:b w:val="0"/>
                <w:sz w:val="16"/>
              </w:rPr>
            </w:r>
          </w:p>
        </w:tc>
      </w:tr>
      <w:tr>
        <w:tc>
          <w:tcPr>
            <w:tcW w:type="dxa" w:w="5046"/>
          </w:tcPr>
          <w:p>
            <w:r/>
            <w:r>
              <w:rPr>
                <w:rFonts w:ascii="Arial" w:hAnsi="Arial"/>
                <w:b w:val="0"/>
                <w:sz w:val="16"/>
              </w:rPr>
              <w:t>1</w:t>
            </w:r>
          </w:p>
        </w:tc>
        <w:tc>
          <w:tcPr>
            <w:tcW w:type="dxa" w:w="5046"/>
          </w:tcPr>
          <w:p>
            <w:r/>
            <w:r>
              <w:rPr>
                <w:rFonts w:ascii="Arial" w:hAnsi="Arial"/>
                <w:b w:val="0"/>
                <w:sz w:val="16"/>
              </w:rPr>
              <w:t>Accumulation</w:t>
            </w:r>
          </w:p>
        </w:tc>
        <w:tc>
          <w:tcPr>
            <w:tcW w:type="dxa" w:w="5046"/>
          </w:tcPr>
          <w:p>
            <w:r/>
            <w:r>
              <w:rPr>
                <w:rFonts w:ascii="Arial" w:hAnsi="Arial"/>
                <w:b w:val="0"/>
                <w:sz w:val="16"/>
              </w:rPr>
              <w:t>Note 92: The original data value (Y in the note 4 of Regulation 92.9.4) has units of Code table 4.2 multiplied by second, unless otherwise noted on Code table 4.2.</w:t>
            </w:r>
          </w:p>
        </w:tc>
      </w:tr>
      <w:tr>
        <w:tc>
          <w:tcPr>
            <w:tcW w:type="dxa" w:w="5046"/>
          </w:tcPr>
          <w:p>
            <w:r/>
            <w:r>
              <w:rPr>
                <w:rFonts w:ascii="Arial" w:hAnsi="Arial"/>
                <w:b w:val="0"/>
                <w:sz w:val="16"/>
              </w:rPr>
              <w:t>2</w:t>
            </w:r>
          </w:p>
        </w:tc>
        <w:tc>
          <w:tcPr>
            <w:tcW w:type="dxa" w:w="5046"/>
          </w:tcPr>
          <w:p>
            <w:r/>
            <w:r>
              <w:rPr>
                <w:rFonts w:ascii="Arial" w:hAnsi="Arial"/>
                <w:b w:val="0"/>
                <w:sz w:val="16"/>
              </w:rPr>
              <w:t>Maximum</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Minimum</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Difference (value at the end of time range minus value at the beginning)</w:t>
            </w:r>
          </w:p>
        </w:tc>
        <w:tc>
          <w:tcPr>
            <w:tcW w:type="dxa" w:w="5046"/>
          </w:tcPr>
          <w:p>
            <w:r/>
            <w:r>
              <w:rPr>
                <w:rFonts w:ascii="Arial" w:hAnsi="Arial"/>
                <w:b w:val="0"/>
                <w:sz w:val="16"/>
              </w:rPr>
            </w:r>
          </w:p>
        </w:tc>
      </w:tr>
      <w:tr>
        <w:tc>
          <w:tcPr>
            <w:tcW w:type="dxa" w:w="5046"/>
          </w:tcPr>
          <w:p>
            <w:r/>
            <w:r>
              <w:rPr>
                <w:rFonts w:ascii="Arial" w:hAnsi="Arial"/>
                <w:b w:val="0"/>
                <w:sz w:val="16"/>
              </w:rPr>
              <w:t>5</w:t>
            </w:r>
          </w:p>
        </w:tc>
        <w:tc>
          <w:tcPr>
            <w:tcW w:type="dxa" w:w="5046"/>
          </w:tcPr>
          <w:p>
            <w:r/>
            <w:r>
              <w:rPr>
                <w:rFonts w:ascii="Arial" w:hAnsi="Arial"/>
                <w:b w:val="0"/>
                <w:sz w:val="16"/>
              </w:rPr>
              <w:t>Root mean square</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Standard deviation</w:t>
            </w:r>
          </w:p>
        </w:tc>
        <w:tc>
          <w:tcPr>
            <w:tcW w:type="dxa" w:w="5046"/>
          </w:tcPr>
          <w:p>
            <w:r/>
            <w:r>
              <w:rPr>
                <w:rFonts w:ascii="Arial" w:hAnsi="Arial"/>
                <w:b w:val="0"/>
                <w:sz w:val="16"/>
              </w:rPr>
            </w:r>
          </w:p>
        </w:tc>
      </w:tr>
      <w:tr>
        <w:tc>
          <w:tcPr>
            <w:tcW w:type="dxa" w:w="5046"/>
          </w:tcPr>
          <w:p>
            <w:r/>
            <w:r>
              <w:rPr>
                <w:rFonts w:ascii="Arial" w:hAnsi="Arial"/>
                <w:b w:val="0"/>
                <w:sz w:val="16"/>
              </w:rPr>
              <w:t>7</w:t>
            </w:r>
          </w:p>
        </w:tc>
        <w:tc>
          <w:tcPr>
            <w:tcW w:type="dxa" w:w="5046"/>
          </w:tcPr>
          <w:p>
            <w:r/>
            <w:r>
              <w:rPr>
                <w:rFonts w:ascii="Arial" w:hAnsi="Arial"/>
                <w:b w:val="0"/>
                <w:sz w:val="16"/>
              </w:rPr>
              <w:t>Covariance (temporal variance)</w:t>
            </w:r>
          </w:p>
        </w:tc>
        <w:tc>
          <w:tcPr>
            <w:tcW w:type="dxa" w:w="5046"/>
          </w:tcPr>
          <w:p>
            <w:r/>
            <w:r>
              <w:rPr>
                <w:rFonts w:ascii="Arial" w:hAnsi="Arial"/>
                <w:b w:val="0"/>
                <w:sz w:val="16"/>
              </w:rPr>
              <w:t>Note 93: The original data value has squared units of Code table 4.2.</w:t>
            </w:r>
          </w:p>
        </w:tc>
      </w:tr>
      <w:tr>
        <w:tc>
          <w:tcPr>
            <w:tcW w:type="dxa" w:w="5046"/>
          </w:tcPr>
          <w:p>
            <w:r/>
            <w:r>
              <w:rPr>
                <w:rFonts w:ascii="Arial" w:hAnsi="Arial"/>
                <w:b w:val="0"/>
                <w:sz w:val="16"/>
              </w:rPr>
              <w:t>8</w:t>
            </w:r>
          </w:p>
        </w:tc>
        <w:tc>
          <w:tcPr>
            <w:tcW w:type="dxa" w:w="5046"/>
          </w:tcPr>
          <w:p>
            <w:r/>
            <w:r>
              <w:rPr>
                <w:rFonts w:ascii="Arial" w:hAnsi="Arial"/>
                <w:b w:val="0"/>
                <w:sz w:val="16"/>
              </w:rPr>
              <w:t>Difference (value at the start of time range minus value at the end)</w:t>
            </w:r>
          </w:p>
        </w:tc>
        <w:tc>
          <w:tcPr>
            <w:tcW w:type="dxa" w:w="5046"/>
          </w:tcPr>
          <w:p>
            <w:r/>
            <w:r>
              <w:rPr>
                <w:rFonts w:ascii="Arial" w:hAnsi="Arial"/>
                <w:b w:val="0"/>
                <w:sz w:val="16"/>
              </w:rPr>
            </w:r>
          </w:p>
        </w:tc>
      </w:tr>
      <w:tr>
        <w:tc>
          <w:tcPr>
            <w:tcW w:type="dxa" w:w="5046"/>
          </w:tcPr>
          <w:p>
            <w:r/>
            <w:r>
              <w:rPr>
                <w:rFonts w:ascii="Arial" w:hAnsi="Arial"/>
                <w:b w:val="0"/>
                <w:sz w:val="16"/>
              </w:rPr>
              <w:t>9</w:t>
            </w:r>
          </w:p>
        </w:tc>
        <w:tc>
          <w:tcPr>
            <w:tcW w:type="dxa" w:w="5046"/>
          </w:tcPr>
          <w:p>
            <w:r/>
            <w:r>
              <w:rPr>
                <w:rFonts w:ascii="Arial" w:hAnsi="Arial"/>
                <w:b w:val="0"/>
                <w:sz w:val="16"/>
              </w:rPr>
              <w:t>Ratio</w:t>
            </w:r>
          </w:p>
        </w:tc>
        <w:tc>
          <w:tcPr>
            <w:tcW w:type="dxa" w:w="5046"/>
          </w:tcPr>
          <w:p>
            <w:r/>
            <w:r>
              <w:rPr>
                <w:rFonts w:ascii="Arial" w:hAnsi="Arial"/>
                <w:b w:val="0"/>
                <w:sz w:val="16"/>
              </w:rPr>
              <w:t>Note 97: The original data value is non-dimensional number without units.</w:t>
            </w:r>
          </w:p>
        </w:tc>
      </w:tr>
      <w:tr>
        <w:tc>
          <w:tcPr>
            <w:tcW w:type="dxa" w:w="5046"/>
          </w:tcPr>
          <w:p>
            <w:r/>
            <w:r>
              <w:rPr>
                <w:rFonts w:ascii="Arial" w:hAnsi="Arial"/>
                <w:b w:val="0"/>
                <w:sz w:val="16"/>
              </w:rPr>
              <w:t>10</w:t>
            </w:r>
          </w:p>
        </w:tc>
        <w:tc>
          <w:tcPr>
            <w:tcW w:type="dxa" w:w="5046"/>
          </w:tcPr>
          <w:p>
            <w:r/>
            <w:r>
              <w:rPr>
                <w:rFonts w:ascii="Arial" w:hAnsi="Arial"/>
                <w:b w:val="0"/>
                <w:sz w:val="16"/>
              </w:rPr>
              <w:t>Standardized anomaly</w:t>
            </w:r>
          </w:p>
        </w:tc>
        <w:tc>
          <w:tcPr>
            <w:tcW w:type="dxa" w:w="5046"/>
          </w:tcPr>
          <w:p>
            <w:r/>
            <w:r>
              <w:rPr>
                <w:rFonts w:ascii="Arial" w:hAnsi="Arial"/>
                <w:b w:val="0"/>
                <w:sz w:val="16"/>
              </w:rPr>
            </w:r>
          </w:p>
        </w:tc>
      </w:tr>
      <w:tr>
        <w:tc>
          <w:tcPr>
            <w:tcW w:type="dxa" w:w="5046"/>
          </w:tcPr>
          <w:p>
            <w:r/>
            <w:r>
              <w:rPr>
                <w:rFonts w:ascii="Arial" w:hAnsi="Arial"/>
                <w:b w:val="0"/>
                <w:sz w:val="16"/>
              </w:rPr>
              <w:t>11</w:t>
            </w:r>
          </w:p>
        </w:tc>
        <w:tc>
          <w:tcPr>
            <w:tcW w:type="dxa" w:w="5046"/>
          </w:tcPr>
          <w:p>
            <w:r/>
            <w:r>
              <w:rPr>
                <w:rFonts w:ascii="Arial" w:hAnsi="Arial"/>
                <w:b w:val="0"/>
                <w:sz w:val="16"/>
              </w:rPr>
              <w:t>Summation</w:t>
            </w:r>
          </w:p>
        </w:tc>
        <w:tc>
          <w:tcPr>
            <w:tcW w:type="dxa" w:w="5046"/>
          </w:tcPr>
          <w:p>
            <w:r/>
            <w:r>
              <w:rPr>
                <w:rFonts w:ascii="Arial" w:hAnsi="Arial"/>
                <w:b w:val="0"/>
                <w:sz w:val="16"/>
              </w:rPr>
            </w:r>
          </w:p>
        </w:tc>
      </w:tr>
      <w:tr>
        <w:tc>
          <w:tcPr>
            <w:tcW w:type="dxa" w:w="5046"/>
          </w:tcPr>
          <w:p>
            <w:r/>
            <w:r>
              <w:rPr>
                <w:rFonts w:ascii="Arial" w:hAnsi="Arial"/>
                <w:b w:val="0"/>
                <w:sz w:val="16"/>
              </w:rPr>
              <w:t>12</w:t>
            </w:r>
          </w:p>
        </w:tc>
        <w:tc>
          <w:tcPr>
            <w:tcW w:type="dxa" w:w="5046"/>
          </w:tcPr>
          <w:p>
            <w:r/>
            <w:r>
              <w:rPr>
                <w:rFonts w:ascii="Arial" w:hAnsi="Arial"/>
                <w:b w:val="0"/>
                <w:sz w:val="16"/>
              </w:rPr>
              <w:t>Return period</w:t>
            </w:r>
          </w:p>
        </w:tc>
        <w:tc>
          <w:tcPr>
            <w:tcW w:type="dxa" w:w="5046"/>
          </w:tcPr>
          <w:p>
            <w:r/>
            <w:r>
              <w:rPr>
                <w:rFonts w:ascii="Arial" w:hAnsi="Arial"/>
                <w:b w:val="0"/>
                <w:sz w:val="16"/>
              </w:rPr>
            </w:r>
          </w:p>
        </w:tc>
      </w:tr>
      <w:tr>
        <w:tc>
          <w:tcPr>
            <w:tcW w:type="dxa" w:w="5046"/>
          </w:tcPr>
          <w:p>
            <w:r/>
            <w:r>
              <w:rPr>
                <w:rFonts w:ascii="Arial" w:hAnsi="Arial"/>
                <w:b w:val="0"/>
                <w:sz w:val="16"/>
              </w:rPr>
              <w:t>13</w:t>
            </w:r>
          </w:p>
        </w:tc>
        <w:tc>
          <w:tcPr>
            <w:tcW w:type="dxa" w:w="5046"/>
          </w:tcPr>
          <w:p>
            <w:r/>
            <w:r>
              <w:rPr>
                <w:rFonts w:ascii="Arial" w:hAnsi="Arial"/>
                <w:b w:val="0"/>
                <w:sz w:val="16"/>
              </w:rPr>
              <w:t>Median</w:t>
            </w:r>
          </w:p>
        </w:tc>
        <w:tc>
          <w:tcPr>
            <w:tcW w:type="dxa" w:w="5046"/>
          </w:tcPr>
          <w:p>
            <w:r/>
            <w:r>
              <w:rPr>
                <w:rFonts w:ascii="Arial" w:hAnsi="Arial"/>
                <w:b w:val="0"/>
                <w:sz w:val="16"/>
              </w:rPr>
            </w:r>
          </w:p>
        </w:tc>
      </w:tr>
      <w:tr>
        <w:tc>
          <w:tcPr>
            <w:tcW w:type="dxa" w:w="5046"/>
          </w:tcPr>
          <w:p>
            <w:r/>
            <w:r>
              <w:rPr>
                <w:rFonts w:ascii="Arial" w:hAnsi="Arial"/>
                <w:b w:val="0"/>
                <w:sz w:val="16"/>
              </w:rPr>
              <w:t>14-99</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100</w:t>
            </w:r>
          </w:p>
        </w:tc>
        <w:tc>
          <w:tcPr>
            <w:tcW w:type="dxa" w:w="5046"/>
          </w:tcPr>
          <w:p>
            <w:r/>
            <w:r>
              <w:rPr>
                <w:rFonts w:ascii="Arial" w:hAnsi="Arial"/>
                <w:b w:val="0"/>
                <w:sz w:val="16"/>
              </w:rPr>
              <w:t>Severity</w:t>
            </w:r>
          </w:p>
        </w:tc>
        <w:tc>
          <w:tcPr>
            <w:tcW w:type="dxa" w:w="5046"/>
          </w:tcPr>
          <w:p>
            <w:r/>
            <w:r>
              <w:rPr>
                <w:rFonts w:ascii="Arial" w:hAnsi="Arial"/>
                <w:b w:val="0"/>
                <w:sz w:val="16"/>
              </w:rPr>
            </w:r>
          </w:p>
        </w:tc>
      </w:tr>
      <w:tr>
        <w:tc>
          <w:tcPr>
            <w:tcW w:type="dxa" w:w="5046"/>
          </w:tcPr>
          <w:p>
            <w:r/>
            <w:r>
              <w:rPr>
                <w:rFonts w:ascii="Arial" w:hAnsi="Arial"/>
                <w:b w:val="0"/>
                <w:sz w:val="16"/>
              </w:rPr>
              <w:t>101</w:t>
            </w:r>
          </w:p>
        </w:tc>
        <w:tc>
          <w:tcPr>
            <w:tcW w:type="dxa" w:w="5046"/>
          </w:tcPr>
          <w:p>
            <w:r/>
            <w:r>
              <w:rPr>
                <w:rFonts w:ascii="Arial" w:hAnsi="Arial"/>
                <w:b w:val="0"/>
                <w:sz w:val="16"/>
              </w:rPr>
              <w:t>Mode</w:t>
            </w:r>
          </w:p>
        </w:tc>
        <w:tc>
          <w:tcPr>
            <w:tcW w:type="dxa" w:w="5046"/>
          </w:tcPr>
          <w:p>
            <w:r/>
            <w:r>
              <w:rPr>
                <w:rFonts w:ascii="Arial" w:hAnsi="Arial"/>
                <w:b w:val="0"/>
                <w:sz w:val="16"/>
              </w:rPr>
            </w:r>
          </w:p>
        </w:tc>
      </w:tr>
      <w:tr>
        <w:tc>
          <w:tcPr>
            <w:tcW w:type="dxa" w:w="5046"/>
          </w:tcPr>
          <w:p>
            <w:r/>
            <w:r>
              <w:rPr>
                <w:rFonts w:ascii="Arial" w:hAnsi="Arial"/>
                <w:b w:val="0"/>
                <w:sz w:val="16"/>
              </w:rPr>
              <w:t>102</w:t>
            </w:r>
          </w:p>
        </w:tc>
        <w:tc>
          <w:tcPr>
            <w:tcW w:type="dxa" w:w="5046"/>
          </w:tcPr>
          <w:p>
            <w:r/>
            <w:r>
              <w:rPr>
                <w:rFonts w:ascii="Arial" w:hAnsi="Arial"/>
                <w:b w:val="0"/>
                <w:sz w:val="16"/>
              </w:rPr>
              <w:t>Index processing</w:t>
            </w:r>
          </w:p>
        </w:tc>
        <w:tc>
          <w:tcPr>
            <w:tcW w:type="dxa" w:w="5046"/>
          </w:tcPr>
          <w:p>
            <w:r/>
            <w:r>
              <w:rPr>
                <w:rFonts w:ascii="Arial" w:hAnsi="Arial"/>
                <w:b w:val="0"/>
                <w:sz w:val="16"/>
              </w:rPr>
              <w:t>Note 146: For code number 102 the drought index encoded in the message is specified by the table entries from discipline 0 and parameter category 22 with the corresponding parameter number. The statistical processing period of the drought index is defined by the keys "length of time range" and "indicator of unit of time for the increment"</w:t>
            </w:r>
          </w:p>
        </w:tc>
      </w:tr>
      <w:tr>
        <w:tc>
          <w:tcPr>
            <w:tcW w:type="dxa" w:w="5046"/>
          </w:tcPr>
          <w:p>
            <w:r/>
            <w:r>
              <w:rPr>
                <w:rFonts w:ascii="Arial" w:hAnsi="Arial"/>
                <w:b w:val="0"/>
                <w:sz w:val="16"/>
              </w:rPr>
              <w:t>103-191</w:t>
            </w:r>
          </w:p>
        </w:tc>
        <w:tc>
          <w:tcPr>
            <w:tcW w:type="dxa" w:w="5046"/>
          </w:tcPr>
          <w:p>
            <w:r/>
            <w:r>
              <w:rPr>
                <w:rFonts w:ascii="Arial" w:hAnsi="Arial"/>
                <w:b w:val="0"/>
                <w:sz w:val="16"/>
              </w:rPr>
              <w:t>Reserved</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Reserved for local use</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Missing</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