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Tile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Land use classes according to ESA-GlobCover GCV2009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Land use classes according to European Commission-Global Land Cover Project GLC2000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Land use classes according to ECOCLIMAP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Land use classes according to ECOCLIMAP-SG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Land use classes according to USGS EROS Global Land Cover Characterization (GLCC) v2.0 BATS Classification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