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Parameter number by product discipline and parameter category</w:t>
      </w:r>
    </w:p>
    <w:p>
      <w:pPr>
        <w:jc w:val="center"/>
      </w:pPr>
      <w:r>
        <w:rPr>
          <w:rFonts w:ascii="Arial" w:hAnsi="Arial"/>
          <w:i/>
          <w:sz w:val="18"/>
        </w:rPr>
        <w:t>Product discipline 0 - Meteorological products, parameter category 0: temperature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Temperature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Virtual temperature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Potential temperature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Pseudo-adiabatic potential temperature or equivalent potential temperature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Maximum temperature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1: Parameter deprecated. See Regulation 92.6.2 and use another parameter instead.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Minimum temperature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1: Parameter deprecated. See Regulation 92.6.2 and use another parameter instead.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Dewpoint temperature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Dewpoint depression (or deficit)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Lapse rate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K/m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Temperature anomaly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Latent heat net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Sensible heat net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Heat index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Wind chill factor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Minimum dewpoint depression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1: Parameter deprecated. See Regulation 92.6.2 and use another parameter instead.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Virtual potential temperature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Snow phase change heat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Skin temperature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Snow temperature (top of snow)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Turbulent transfer coefficient for heat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Turbulent diffusion coefficient for heat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m2/s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Apparent temperature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30: Apparent temperature is the perceived outdoor temperature, caused by a combination of phenomena, such as air temperature, relative humidity and wind speed.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Temperature tendency due to short-wave radiation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Temperature tendency due to long-wave radiation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Temperature tendency due to short-wave radiation, clear sky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Temperature tendency due to long-wave radiation, clear sky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Temperature tendency due to parameterization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Wet-bulb temperature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Unbalanced component of temperature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Temperature advection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Latent heat net flux due to evaporation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Latent heat net flux due to sublimation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Wet-bulb potential temperature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