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191: miscellaneous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Seconds prior to initial reference time (defined in Section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Geographical latitude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 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Geographical longitude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 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Days since last observation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Tropical cyclone density track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Hurricane track in spatiotemporal vicinity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154: These parameters are intended to be used with templates 4.121 and 4.122 in which the spatio-temporal criteria are used to get a categorical yes/no per grid point of each ensemble member.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Tropical storm track in spatiotemporal vicinity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154: These parameters are intended to be used with templates 4.121 and 4.122 in which the spatio-temporal criteria are used to get a categorical yes/no per grid point of each ensemble member.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Tropical depression track in spatiotemporal vicinity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154: These parameters are intended to be used with templates 4.121 and 4.122 in which the spatio-temporal criteria are used to get a categorical yes/no per grid point of each ensemble member.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