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20: atmospheric chemical constituents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 density (concentration)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mass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5: FirstFixedSurface and SecondFixedSurface of Code table 4.5 (Fixed surface types and units) to define the vertical extent, i.e. FirstFixedSurface can be set to 1 (Ground or water surface) and SecondFixedSurface set to 7 (Tropopause) for a restriction to the troposphere.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 mixing ratio (mass fraction in air)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Atmosphere emission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Atmosphere net production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Atmosphere net production and emission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dry deposition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wet deposition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Atmosphere re-emission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Wet deposition by large-scale precipitation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Wet deposition by convective precipitation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Sedimentation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Dry deposition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Transfer from hydrophobic to hydrophilic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Transfer from SO2 (sulphur dioxide) to SO4 (sulphate)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Dry deposition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 mixing ratio with respect to dry 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 mixing ratio with respect to wet 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Potential of hydrogen (pH)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Loss rate due to reaction with hydroxyl radical (OH)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20-49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Amount in atmosphere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in 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Volume mixing ratio (fraction in air)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mol/mol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Chemical gross production rate of concentration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Chemical gross destruction rate of concentration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Changes of amount in atmosphere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5: FirstFixedSurface and SecondFixedSurface of Code table 4.5 (Fixed surface types and units) to define the vertical extent, i.e. FirstFixedSurface can be set to 1 (Ground or water surface) and SecondFixedSurface set to 7 (Tropopause) for a restriction to the troposphere.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yearly average burden of the atmosphere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yearly averaged atmospheric loss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5: FirstFixedSurface and SecondFixedSurface of Code table 4.5 (Fixed surface types and units) to define the vertical extent, i.e. FirstFixedSurface can be set to 1 (Ground or water surface) and SecondFixedSurface set to 7 (Tropopause) for a restriction to the troposphere.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number concentration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20: The term "number density" is used as well for "number concentration" (code number 59); conversion factor between "number density" (59) and "specific number concentration" (60) is "mass density" [kg m-3].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specific number concentration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20: The term "number density" is used as well for "number concentration" (code number 59); conversion factor between "number density" (59) and "specific number concentration" (60) is "mass density" [kg m-3].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Maximum of mass density in layer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5: FirstFixedSurface and SecondFixedSurface of Code table 4.5 (Fixed surface types and units) to define the vertical extent, i.e. FirstFixedSurface can be set to 1 (Ground or water surface) and SecondFixedSurface set to 7 (Tropopause) for a restriction to the troposphere.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Height of maximum mass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Column-averaged mass density in layer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Mole fraction with respect to dry 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mol/mol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Mole fraction with respect to wet 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mol/mol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in-cloud scavenging rate by precipitation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below-cloud scavenging rate by precipitation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release rate from evaporating precipitation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in-cloud scavenging rate by large-scale precipitation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below-cloud scavenging rate by large-scale precipitation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release rate from evaporating large-scale precipitation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in-cloud scavenging rate by convective precipitation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below-cloud scavenging rate by convective precipitation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release rate from evaporating convective precipitation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Wildfire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Emission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emission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eastward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northward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divergence of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net source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129: The net source is the sum of all the atmospheric (chemical) processes creating and destroying chemical constituents or aerosols in the column.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Sink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Source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Volume-mean total column mixing ratio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mol-1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85-99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area density (aerosol)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visual range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optical thickness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Single scattering albedo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Asymmetry factor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extinction coefficient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absorption coefficient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lidar backscatter from satellite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lidar backscatter from the ground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lidar extinction from satellite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lidar extinction from the ground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Angstrom exponent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Absorption aerosol optical thickness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backscatter coefficient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