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Parameter number by product discipline and parameter category</w:t>
      </w:r>
    </w:p>
    <w:p>
      <w:pPr>
        <w:jc w:val="center"/>
      </w:pPr>
      <w:r>
        <w:rPr>
          <w:rFonts w:ascii="Arial" w:hAnsi="Arial"/>
          <w:i/>
          <w:sz w:val="18"/>
        </w:rPr>
        <w:t>Product discipline 0 - Meteorological products, parameter category 22: drought indices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Standard Precipitation Index (SPI)</w:t>
            </w:r>
          </w:p>
        </w:tc>
        <w:tc>
          <w:tcPr>
            <w:tcW w:type="dxa" w:w="3784"/>
          </w:tcPr>
          <w:p>
            <w:r/>
            <w:r>
              <w:rPr>
                <w:rFonts w:ascii="Arial" w:hAnsi="Arial"/>
                <w:b w:val="0"/>
                <w:sz w:val="16"/>
              </w:rPr>
              <w:t>dimensionless</w:t>
            </w:r>
          </w:p>
        </w:tc>
        <w:tc>
          <w:tcPr>
            <w:tcW w:type="dxa" w:w="3784"/>
          </w:tcPr>
          <w:p>
            <w:r/>
            <w:r>
              <w:rPr>
                <w:rFonts w:ascii="Arial" w:hAnsi="Arial"/>
                <w:b w:val="0"/>
                <w:sz w:val="16"/>
              </w:rPr>
              <w:t>Note 147: Descriptions of the drought indices in discipline 0, Meteorological products, category 22 are available in the Handbook of Drought Indicators and Indices (WMO-No. 1173) [https://library.wmo.int/idurl/4/55169]. The indices are specified by setting discipline and parameter category/number to the specific index to be encoded. Drought indicators are calculated over different time ranges, prescribed by the 'Length of time range' and 'Indicator of unit for time range' parameters in templates 4.107, 4.108, 4.109 and 4.112. All standardized drought indices are calculated according to the Standardized Precipitation Index User Guide (WMO-No. 1090)[https://library.wmo.int/idurl/4/39629].</w:t>
            </w:r>
          </w:p>
        </w:tc>
      </w:tr>
      <w:tr>
        <w:tc>
          <w:tcPr>
            <w:tcW w:type="dxa" w:w="3784"/>
          </w:tcPr>
          <w:p>
            <w:r/>
            <w:r>
              <w:rPr>
                <w:rFonts w:ascii="Arial" w:hAnsi="Arial"/>
                <w:b w:val="0"/>
                <w:sz w:val="16"/>
              </w:rPr>
              <w:t>1</w:t>
            </w:r>
          </w:p>
        </w:tc>
        <w:tc>
          <w:tcPr>
            <w:tcW w:type="dxa" w:w="3784"/>
          </w:tcPr>
          <w:p>
            <w:r/>
            <w:r>
              <w:rPr>
                <w:rFonts w:ascii="Arial" w:hAnsi="Arial"/>
                <w:b w:val="0"/>
                <w:sz w:val="16"/>
              </w:rPr>
              <w:t>Standardized Precipitation Evapotranspiration Index (SPEI)</w:t>
            </w:r>
          </w:p>
        </w:tc>
        <w:tc>
          <w:tcPr>
            <w:tcW w:type="dxa" w:w="3784"/>
          </w:tcPr>
          <w:p>
            <w:r/>
            <w:r>
              <w:rPr>
                <w:rFonts w:ascii="Arial" w:hAnsi="Arial"/>
                <w:b w:val="0"/>
                <w:sz w:val="16"/>
              </w:rPr>
              <w:t>dimensionless</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Standardized Streamflow Index (SSFI)</w:t>
            </w:r>
          </w:p>
        </w:tc>
        <w:tc>
          <w:tcPr>
            <w:tcW w:type="dxa" w:w="3784"/>
          </w:tcPr>
          <w:p>
            <w:r/>
            <w:r>
              <w:rPr>
                <w:rFonts w:ascii="Arial" w:hAnsi="Arial"/>
                <w:b w:val="0"/>
                <w:sz w:val="16"/>
              </w:rPr>
              <w:t>dimensionless</w:t>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Standardized Reservoir Supply Index (SRSI)</w:t>
            </w:r>
          </w:p>
        </w:tc>
        <w:tc>
          <w:tcPr>
            <w:tcW w:type="dxa" w:w="3784"/>
          </w:tcPr>
          <w:p>
            <w:r/>
            <w:r>
              <w:rPr>
                <w:rFonts w:ascii="Arial" w:hAnsi="Arial"/>
                <w:b w:val="0"/>
                <w:sz w:val="16"/>
              </w:rPr>
              <w:t>dimensionless</w:t>
            </w:r>
          </w:p>
        </w:tc>
        <w:tc>
          <w:tcPr>
            <w:tcW w:type="dxa" w:w="3784"/>
          </w:tcPr>
          <w:p>
            <w:r/>
            <w:r>
              <w:rPr>
                <w:rFonts w:ascii="Arial" w:hAnsi="Arial"/>
                <w:b w:val="0"/>
                <w:sz w:val="16"/>
              </w:rPr>
            </w:r>
          </w:p>
        </w:tc>
      </w:tr>
      <w:tr>
        <w:tc>
          <w:tcPr>
            <w:tcW w:type="dxa" w:w="3784"/>
          </w:tcPr>
          <w:p>
            <w:r/>
            <w:r>
              <w:rPr>
                <w:rFonts w:ascii="Arial" w:hAnsi="Arial"/>
                <w:b w:val="0"/>
                <w:sz w:val="16"/>
              </w:rPr>
              <w:t>4</w:t>
            </w:r>
          </w:p>
        </w:tc>
        <w:tc>
          <w:tcPr>
            <w:tcW w:type="dxa" w:w="3784"/>
          </w:tcPr>
          <w:p>
            <w:r/>
            <w:r>
              <w:rPr>
                <w:rFonts w:ascii="Arial" w:hAnsi="Arial"/>
                <w:b w:val="0"/>
                <w:sz w:val="16"/>
              </w:rPr>
              <w:t>Standardized Water-level Index (SWI)</w:t>
            </w:r>
          </w:p>
        </w:tc>
        <w:tc>
          <w:tcPr>
            <w:tcW w:type="dxa" w:w="3784"/>
          </w:tcPr>
          <w:p>
            <w:r/>
            <w:r>
              <w:rPr>
                <w:rFonts w:ascii="Arial" w:hAnsi="Arial"/>
                <w:b w:val="0"/>
                <w:sz w:val="16"/>
              </w:rPr>
              <w:t>dimensionless</w:t>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Standardized Snowmelt and Rain Index (SMRI)</w:t>
            </w:r>
          </w:p>
        </w:tc>
        <w:tc>
          <w:tcPr>
            <w:tcW w:type="dxa" w:w="3784"/>
          </w:tcPr>
          <w:p>
            <w:r/>
            <w:r>
              <w:rPr>
                <w:rFonts w:ascii="Arial" w:hAnsi="Arial"/>
                <w:b w:val="0"/>
                <w:sz w:val="16"/>
              </w:rPr>
              <w:t>dimensionless</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Streamflow Drought Index (SDI)</w:t>
            </w:r>
          </w:p>
        </w:tc>
        <w:tc>
          <w:tcPr>
            <w:tcW w:type="dxa" w:w="3784"/>
          </w:tcPr>
          <w:p>
            <w:r/>
            <w:r>
              <w:rPr>
                <w:rFonts w:ascii="Arial" w:hAnsi="Arial"/>
                <w:b w:val="0"/>
                <w:sz w:val="16"/>
              </w:rPr>
              <w:t>dimensionless</w:t>
            </w:r>
          </w:p>
        </w:tc>
        <w:tc>
          <w:tcPr>
            <w:tcW w:type="dxa" w:w="3784"/>
          </w:tcPr>
          <w:p>
            <w:r/>
            <w:r>
              <w:rPr>
                <w:rFonts w:ascii="Arial" w:hAnsi="Arial"/>
                <w:b w:val="0"/>
                <w:sz w:val="16"/>
              </w:rPr>
            </w:r>
          </w:p>
        </w:tc>
      </w:tr>
      <w:tr>
        <w:tc>
          <w:tcPr>
            <w:tcW w:type="dxa" w:w="3784"/>
          </w:tcPr>
          <w:p>
            <w:r/>
            <w:r>
              <w:rPr>
                <w:rFonts w:ascii="Arial" w:hAnsi="Arial"/>
                <w:b w:val="0"/>
                <w:sz w:val="16"/>
              </w:rPr>
              <w:t>7-191</w:t>
            </w:r>
          </w:p>
        </w:tc>
        <w:tc>
          <w:tcPr>
            <w:tcW w:type="dxa" w:w="3784"/>
          </w:tcPr>
          <w:p>
            <w:r/>
            <w:r>
              <w:rPr>
                <w:rFonts w:ascii="Arial" w:hAnsi="Arial"/>
                <w:b w:val="0"/>
                <w:sz w:val="16"/>
              </w:rPr>
              <w:t>Reserved</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Reserved for local use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Missing</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