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4: short-wave radiation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short-wave radiation flux (surface)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short-wave radiation flux (top of atmosphere)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Global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Brightness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Radiance (with respect to wave number)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m-1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Radiance (with respect to wavelength)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m-3 sr-1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Upward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short 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Photosynthetically active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Net short-wave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UV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Diffuse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Upward UV radiation emitted/reflected from the Earth's surface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16-49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index (under clear sky)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24: The Global Solar UVI is formulated using the International Commission on Illumination (CIE) reference action spectrum for UV-induced erythema on the human skin (ISO17166:1999/CIE S 007/E-1998). It is a measure of the UV radiation that is relevant to and defined for a horizontal surface. The UVI is a unitless quantity defined by the formula: {{image}}.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24: The Global Solar UVI is formulated using the International Commission on Illumination (CIE) reference action spectrum for UV-induced erythema on the human skin (ISO17166:1999/CIE S 007/E-1998). It is a measure of the UV radiation that is relevant to and defined for a horizontal surface. The UVI is a unitless quantity defined by the formula: {{image}}.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Downward short-wave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Upward short-wave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normal short-wave radiation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69: Normal flux is on a surface lifted to be normal to sun rays.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visible albedo for diffuse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visible albedo for direct radiation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visible albedo for direct radiation, geometric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visible albedo for direct radiation, isotropic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UV visible albedo for direct radiation, volumetric component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Photosynthetically active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short-wave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normal short-wave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69: Normal flux is on a surface lifted to be normal to sun rays.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Diffuse short-wave radiation flux, clear sky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