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20 - Health and socioeconomic impacts, parameter category 0: health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Universal thermal climate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Mean radiant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Wet-bulb globe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53: Higher values indicate that heat stress is important. Interpretation of values can vary among organizations and use. See example in the ISO certification (ISO 7243, 1989; 2017; Parsons, 2013).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Globe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Effective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Normal effective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Standard effective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Physiological equivalent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UV biologically effective dose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UV biologically effective dose, clear-sky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Excess heat factor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Excess cold factor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