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20 - Health and socioeconomic impacts, parameter category 1: epidemiology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Malaria cases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Malaria circumsporozoite protein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Plasmodium falciparum entomological inoculation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Bites per day per person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Human bite rate by anopheles vectors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Bites per day per person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Malaria immunity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Falciparum parasite rates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Detectable falciparum parasite ratio (after day 10)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Anopheles vector to host ratio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Anopheles vector number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of malarial vector reproductive habitat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