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20 - Health and socioeconomic impacts, parameter category 4: meteorological and hydrological hazard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Downburst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Lightning (electrical storm)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Thunderstorm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Coastal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Estuarine (coastal)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Flash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Fluvial (riverine)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Groundwater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Ice-jam flood including debris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Ponding (drainage)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Snowmelt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water flooding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Glacial lake outburst flood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Black carbon (brown clouds)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Dust storm or sandstorm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Haze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Polluted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Sand haze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Smoke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 acidification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Rogue wave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water intrusion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ice (ice bergs)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flow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Seiche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Storm surge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Storm tides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Tsunami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Depression or cyclone (low pressure area) (pressure-related)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Extra-tropical cyclone (pressure-related)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Sub-tropical cyclone (pressure-related)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Acid rain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Blizzard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Drought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storm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Snowstorm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Cold wave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Dzud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Freeze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Frost (hoar frost)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Freezing rain (supercooled rain)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Glaze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Ground frost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Heatwave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Icing (including ice)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Thaw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Avalanche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Mud flow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Rock slide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Derecho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Gale (strong gale)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Squall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Subtropical storm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cyclone (cyclonic wind, rain [storm] surge) (wind-related)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storm (wind-related)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Tornado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61-190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