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20 - Health and socioeconomic impacts, parameter category 5: environmental hazard indices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Household air pollution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Air pollution (point source)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Ambient (outdoor) air pollution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Land degradation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Soil degradation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Runoff / nonpoint source pollution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Salinity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Biodiversity loss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Deforestation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Forest declines and diebacks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Forest disturbances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Forest invasive species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Wildfires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Desertification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Loss of mangroves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Wetland loss/degradation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Coral bleaching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Compressive soils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Soil erosion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Coastal erosion and shoreline change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Permafrost loss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Sand mining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Sea level rise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Eutrophication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25-190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191-254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