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3 - Space products, parameter category 1: quantitative 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Estimated precipitation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Instantaneous rain rate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Cloud top height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Cloud top height quality indicator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(Code table 4.219)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Estimated u-component of wind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Estimated v-component of wind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Number of pixel used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Solar zenith angle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Relative azimuth angle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Reflectance in 0.6 micron channel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Reflectance in 0.8 micron channel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Reflectance in 1.6 micron channel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Reflectance in 3.9 micron channel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Atmospheric divergence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Cloudy brightness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Clear-sky brightness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Cloudy radiance (with respect to wave number)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m-1 sr-1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Clear-sky radiance (with respect to wave number)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m-1 sr-1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Wind speed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m/s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Aerosol optical thickness at 0.635 μm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Aerosol optical thickness at 0.810 μm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Aerosol optical thickness at 1.640 μm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Angstrom coefficient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Cosine of the solar zenith angle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25-26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Bidirectional reflectance factor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98: The ratio of the radiant flux reflected by a surface to that reflected into the same reflected-beam geometry and wavelength range by an ideal (lossless) and diffuse(Lambertian) standard surface, irradiated under the same conditions.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Brightness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Scaled radiance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114: Top of atmosphere radiance observed by a sensor, multiplied by pi and divided by the in-band solar irradiance.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Reflectance in 0.4 micron channel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Cloudy reflectance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Clear reflectance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33-97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Correlation coefficient between MPE rain-rates for the co-located IR data and the microwave data rain-rates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Standard deviation between MPE rain-rates for the co-located IR data and the microwave data rain-rates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100-191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