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Parameter number by product discipline and parameter category</w:t>
      </w:r>
    </w:p>
    <w:p>
      <w:pPr>
        <w:jc w:val="center"/>
      </w:pPr>
      <w:r>
        <w:rPr>
          <w:rFonts w:ascii="Arial" w:hAnsi="Arial"/>
          <w:i/>
          <w:sz w:val="18"/>
        </w:rPr>
        <w:t>Product discipline 4 - Space weather products, parameter category 10: space weather indices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Scintillation index (sigma phi)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Scintillation index S4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Numeric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Rate of change of TEC index (ROTI)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TECU/min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Disturbance ionosphere index spatial gradient (DIXSG)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Numeric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Along arc TEC rate (AATR)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TECU/min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Kp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Numeric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Equatorial disturbance storm time index (Dst)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Auroral electrojet (AE)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