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generating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Initialization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Bias corrected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Ensemble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Forecast error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error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Probability-weighted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Bias-corrected ensemble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13: Code figures 12 and 13 are intended in cases where code figures 0 and 2 may not be sufficient to indicate that significant post-processing has taken place on an initial analysis or forecast output.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Post-processed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13: Code figures 12 and 13 are intended in cases where code figures 0 and 2 may not be sufficient to indicate that significant post-processing has taken place on an initial analysis or forecast output.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Nowcast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Hindcast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Physical retrieval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Regression 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Difference between two forecasts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First guess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increment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29: Analysis increment represents analysis minus first guess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Initialization increment for 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61: Initialized analysis increment represents initialized analysis minus analysis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Blended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159: Combination of different forecast products to produce a smooth, continuous forecast by applying weights to each individual prediction system which depend on the lead time and forecast skill (for example, seamless prediction using nowcasting to short-range and medium-range).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166: This Anomaly entry should only be used as part of a verification/score field. To properly encode an anomaly and specify the corresponding climatology, please use one of the templates designed specifically for anomalies.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