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2"/>
        </w:rPr>
        <w:t>Probability type</w:t>
      </w:r>
    </w:p>
    <w:tbl>
      <w:tblPr>
        <w:tblStyle w:val="TableGrid"/>
        <w:tblW w:type="auto" w:w="0"/>
        <w:jc w:val="center"/>
        <w:tblLook w:firstColumn="1" w:firstRow="1" w:lastColumn="0" w:lastRow="0" w:noHBand="0" w:noVBand="1" w:val="04A0"/>
      </w:tblPr>
      <w:tblGrid>
        <w:gridCol w:w="5046"/>
        <w:gridCol w:w="5046"/>
        <w:gridCol w:w="5046"/>
      </w:tblGrid>
      <w:tr>
        <w:tc>
          <w:tcPr>
            <w:tcW w:type="dxa" w:w="5046"/>
            <w:shd w:val="clear" w:color="auto" w:fill="D9E2F3"/>
          </w:tcPr>
          <w:p>
            <w:pPr>
              <w:jc w:val="center"/>
            </w:pPr>
            <w:r/>
            <w:r>
              <w:rPr>
                <w:rFonts w:ascii="Arial" w:hAnsi="Arial"/>
                <w:b/>
                <w:sz w:val="16"/>
              </w:rPr>
              <w:t>CodeFlag</w:t>
            </w:r>
          </w:p>
        </w:tc>
        <w:tc>
          <w:tcPr>
            <w:tcW w:type="dxa" w:w="5046"/>
            <w:shd w:val="clear" w:color="auto" w:fill="D9E2F3"/>
          </w:tcPr>
          <w:p>
            <w:pPr>
              <w:jc w:val="center"/>
            </w:pPr>
            <w:r/>
            <w:r>
              <w:rPr>
                <w:rFonts w:ascii="Arial" w:hAnsi="Arial"/>
                <w:b/>
                <w:sz w:val="16"/>
              </w:rPr>
              <w:t>Description</w:t>
            </w:r>
          </w:p>
        </w:tc>
        <w:tc>
          <w:tcPr>
            <w:tcW w:type="dxa" w:w="5046"/>
            <w:shd w:val="clear" w:color="auto" w:fill="D9E2F3"/>
          </w:tcPr>
          <w:p>
            <w:pPr>
              <w:jc w:val="center"/>
            </w:pPr>
            <w:r/>
            <w:r>
              <w:rPr>
                <w:rFonts w:ascii="Arial" w:hAnsi="Arial"/>
                <w:b/>
                <w:sz w:val="16"/>
              </w:rPr>
              <w:t>Note</w:t>
            </w:r>
          </w:p>
        </w:tc>
      </w:tr>
      <w:tr>
        <w:tc>
          <w:tcPr>
            <w:tcW w:type="dxa" w:w="5046"/>
          </w:tcPr>
          <w:p>
            <w:r/>
            <w:r>
              <w:rPr>
                <w:rFonts w:ascii="Arial" w:hAnsi="Arial"/>
                <w:b w:val="0"/>
                <w:sz w:val="16"/>
              </w:rPr>
              <w:t>0</w:t>
            </w:r>
          </w:p>
        </w:tc>
        <w:tc>
          <w:tcPr>
            <w:tcW w:type="dxa" w:w="5046"/>
          </w:tcPr>
          <w:p>
            <w:r/>
            <w:r>
              <w:rPr>
                <w:rFonts w:ascii="Arial" w:hAnsi="Arial"/>
                <w:b w:val="0"/>
                <w:sz w:val="16"/>
              </w:rPr>
              <w:t>Probability of event below lower limit</w:t>
            </w:r>
          </w:p>
        </w:tc>
        <w:tc>
          <w:tcPr>
            <w:tcW w:type="dxa" w:w="5046"/>
          </w:tcPr>
          <w:p>
            <w:r/>
            <w:r>
              <w:rPr>
                <w:rFonts w:ascii="Arial" w:hAnsi="Arial"/>
                <w:b w:val="0"/>
                <w:sz w:val="16"/>
              </w:rPr>
            </w:r>
          </w:p>
        </w:tc>
      </w:tr>
      <w:tr>
        <w:tc>
          <w:tcPr>
            <w:tcW w:type="dxa" w:w="5046"/>
          </w:tcPr>
          <w:p>
            <w:r/>
            <w:r>
              <w:rPr>
                <w:rFonts w:ascii="Arial" w:hAnsi="Arial"/>
                <w:b w:val="0"/>
                <w:sz w:val="16"/>
              </w:rPr>
              <w:t>1</w:t>
            </w:r>
          </w:p>
        </w:tc>
        <w:tc>
          <w:tcPr>
            <w:tcW w:type="dxa" w:w="5046"/>
          </w:tcPr>
          <w:p>
            <w:r/>
            <w:r>
              <w:rPr>
                <w:rFonts w:ascii="Arial" w:hAnsi="Arial"/>
                <w:b w:val="0"/>
                <w:sz w:val="16"/>
              </w:rPr>
              <w:t>Probability of event above upper limit</w:t>
            </w:r>
          </w:p>
        </w:tc>
        <w:tc>
          <w:tcPr>
            <w:tcW w:type="dxa" w:w="5046"/>
          </w:tcPr>
          <w:p>
            <w:r/>
            <w:r>
              <w:rPr>
                <w:rFonts w:ascii="Arial" w:hAnsi="Arial"/>
                <w:b w:val="0"/>
                <w:sz w:val="16"/>
              </w:rPr>
            </w:r>
          </w:p>
        </w:tc>
      </w:tr>
      <w:tr>
        <w:tc>
          <w:tcPr>
            <w:tcW w:type="dxa" w:w="5046"/>
          </w:tcPr>
          <w:p>
            <w:r/>
            <w:r>
              <w:rPr>
                <w:rFonts w:ascii="Arial" w:hAnsi="Arial"/>
                <w:b w:val="0"/>
                <w:sz w:val="16"/>
              </w:rPr>
              <w:t>2</w:t>
            </w:r>
          </w:p>
        </w:tc>
        <w:tc>
          <w:tcPr>
            <w:tcW w:type="dxa" w:w="5046"/>
          </w:tcPr>
          <w:p>
            <w:r/>
            <w:r>
              <w:rPr>
                <w:rFonts w:ascii="Arial" w:hAnsi="Arial"/>
                <w:b w:val="0"/>
                <w:sz w:val="16"/>
              </w:rPr>
              <w:t>Probability of event between lower and upper limits (the range includes the lower limit but not the upper limit)</w:t>
            </w:r>
          </w:p>
        </w:tc>
        <w:tc>
          <w:tcPr>
            <w:tcW w:type="dxa" w:w="5046"/>
          </w:tcPr>
          <w:p>
            <w:r/>
            <w:r>
              <w:rPr>
                <w:rFonts w:ascii="Arial" w:hAnsi="Arial"/>
                <w:b w:val="0"/>
                <w:sz w:val="16"/>
              </w:rPr>
            </w:r>
          </w:p>
        </w:tc>
      </w:tr>
      <w:tr>
        <w:tc>
          <w:tcPr>
            <w:tcW w:type="dxa" w:w="5046"/>
          </w:tcPr>
          <w:p>
            <w:r/>
            <w:r>
              <w:rPr>
                <w:rFonts w:ascii="Arial" w:hAnsi="Arial"/>
                <w:b w:val="0"/>
                <w:sz w:val="16"/>
              </w:rPr>
              <w:t>3</w:t>
            </w:r>
          </w:p>
        </w:tc>
        <w:tc>
          <w:tcPr>
            <w:tcW w:type="dxa" w:w="5046"/>
          </w:tcPr>
          <w:p>
            <w:r/>
            <w:r>
              <w:rPr>
                <w:rFonts w:ascii="Arial" w:hAnsi="Arial"/>
                <w:b w:val="0"/>
                <w:sz w:val="16"/>
              </w:rPr>
              <w:t>Probability of event above lower limit</w:t>
            </w:r>
          </w:p>
        </w:tc>
        <w:tc>
          <w:tcPr>
            <w:tcW w:type="dxa" w:w="5046"/>
          </w:tcPr>
          <w:p>
            <w:r/>
            <w:r>
              <w:rPr>
                <w:rFonts w:ascii="Arial" w:hAnsi="Arial"/>
                <w:b w:val="0"/>
                <w:sz w:val="16"/>
              </w:rPr>
            </w:r>
          </w:p>
        </w:tc>
      </w:tr>
      <w:tr>
        <w:tc>
          <w:tcPr>
            <w:tcW w:type="dxa" w:w="5046"/>
          </w:tcPr>
          <w:p>
            <w:r/>
            <w:r>
              <w:rPr>
                <w:rFonts w:ascii="Arial" w:hAnsi="Arial"/>
                <w:b w:val="0"/>
                <w:sz w:val="16"/>
              </w:rPr>
              <w:t>4</w:t>
            </w:r>
          </w:p>
        </w:tc>
        <w:tc>
          <w:tcPr>
            <w:tcW w:type="dxa" w:w="5046"/>
          </w:tcPr>
          <w:p>
            <w:r/>
            <w:r>
              <w:rPr>
                <w:rFonts w:ascii="Arial" w:hAnsi="Arial"/>
                <w:b w:val="0"/>
                <w:sz w:val="16"/>
              </w:rPr>
              <w:t>Probability of event below upper limit</w:t>
            </w:r>
          </w:p>
        </w:tc>
        <w:tc>
          <w:tcPr>
            <w:tcW w:type="dxa" w:w="5046"/>
          </w:tcPr>
          <w:p>
            <w:r/>
            <w:r>
              <w:rPr>
                <w:rFonts w:ascii="Arial" w:hAnsi="Arial"/>
                <w:b w:val="0"/>
                <w:sz w:val="16"/>
              </w:rPr>
            </w:r>
          </w:p>
        </w:tc>
      </w:tr>
      <w:tr>
        <w:tc>
          <w:tcPr>
            <w:tcW w:type="dxa" w:w="5046"/>
          </w:tcPr>
          <w:p>
            <w:r/>
            <w:r>
              <w:rPr>
                <w:rFonts w:ascii="Arial" w:hAnsi="Arial"/>
                <w:b w:val="0"/>
                <w:sz w:val="16"/>
              </w:rPr>
              <w:t>5</w:t>
            </w:r>
          </w:p>
        </w:tc>
        <w:tc>
          <w:tcPr>
            <w:tcW w:type="dxa" w:w="5046"/>
          </w:tcPr>
          <w:p>
            <w:r/>
            <w:r>
              <w:rPr>
                <w:rFonts w:ascii="Arial" w:hAnsi="Arial"/>
                <w:b w:val="0"/>
                <w:sz w:val="16"/>
              </w:rPr>
              <w:t>Probability of event equal to lower limit</w:t>
            </w:r>
          </w:p>
        </w:tc>
        <w:tc>
          <w:tcPr>
            <w:tcW w:type="dxa" w:w="5046"/>
          </w:tcPr>
          <w:p>
            <w:r/>
            <w:r>
              <w:rPr>
                <w:rFonts w:ascii="Arial" w:hAnsi="Arial"/>
                <w:b w:val="0"/>
                <w:sz w:val="16"/>
              </w:rPr>
            </w:r>
          </w:p>
        </w:tc>
      </w:tr>
      <w:tr>
        <w:tc>
          <w:tcPr>
            <w:tcW w:type="dxa" w:w="5046"/>
          </w:tcPr>
          <w:p>
            <w:r/>
            <w:r>
              <w:rPr>
                <w:rFonts w:ascii="Arial" w:hAnsi="Arial"/>
                <w:b w:val="0"/>
                <w:sz w:val="16"/>
              </w:rPr>
              <w:t>6</w:t>
            </w:r>
          </w:p>
        </w:tc>
        <w:tc>
          <w:tcPr>
            <w:tcW w:type="dxa" w:w="5046"/>
          </w:tcPr>
          <w:p>
            <w:r/>
            <w:r>
              <w:rPr>
                <w:rFonts w:ascii="Arial" w:hAnsi="Arial"/>
                <w:b w:val="0"/>
                <w:sz w:val="16"/>
              </w:rPr>
              <w:t>Probability of event in above normal category</w:t>
            </w:r>
          </w:p>
        </w:tc>
        <w:tc>
          <w:tcPr>
            <w:tcW w:type="dxa" w:w="5046"/>
          </w:tcPr>
          <w:p>
            <w:r/>
            <w:r>
              <w:rPr>
                <w:rFonts w:ascii="Arial" w:hAnsi="Arial"/>
                <w:b w:val="0"/>
                <w:sz w:val="16"/>
              </w:rPr>
              <w:t>Note 7: Above normal, near normal and below normal are defined as three equiprobable categories based on climatology at each point over the geographical area covered by the grid. The type and methodology of the reference climatology are unspecified and should be documented concurrently by the data producer. | Note 9: Product definition templates that use Code Table 4.9 may contain octets to store the values of lower and upper limits. When categorical probability is used (such as below, near and above normal), these octets shall be set to "all ones" (missing).</w:t>
            </w:r>
          </w:p>
        </w:tc>
      </w:tr>
      <w:tr>
        <w:tc>
          <w:tcPr>
            <w:tcW w:type="dxa" w:w="5046"/>
          </w:tcPr>
          <w:p>
            <w:r/>
            <w:r>
              <w:rPr>
                <w:rFonts w:ascii="Arial" w:hAnsi="Arial"/>
                <w:b w:val="0"/>
                <w:sz w:val="16"/>
              </w:rPr>
              <w:t>7</w:t>
            </w:r>
          </w:p>
        </w:tc>
        <w:tc>
          <w:tcPr>
            <w:tcW w:type="dxa" w:w="5046"/>
          </w:tcPr>
          <w:p>
            <w:r/>
            <w:r>
              <w:rPr>
                <w:rFonts w:ascii="Arial" w:hAnsi="Arial"/>
                <w:b w:val="0"/>
                <w:sz w:val="16"/>
              </w:rPr>
              <w:t>Probability of event in near normal category</w:t>
            </w:r>
          </w:p>
        </w:tc>
        <w:tc>
          <w:tcPr>
            <w:tcW w:type="dxa" w:w="5046"/>
          </w:tcPr>
          <w:p>
            <w:r/>
            <w:r>
              <w:rPr>
                <w:rFonts w:ascii="Arial" w:hAnsi="Arial"/>
                <w:b w:val="0"/>
                <w:sz w:val="16"/>
              </w:rPr>
              <w:t>Note 7: Above normal, near normal and below normal are defined as three equiprobable categories based on climatology at each point over the geographical area covered by the grid. The type and methodology of the reference climatology are unspecified and should be documented concurrently by the data producer. | Note 9: Product definition templates that use Code Table 4.9 may contain octets to store the values of lower and upper limits. When categorical probability is used (such as below, near and above normal), these octets shall be set to "all ones" (missing).</w:t>
            </w:r>
          </w:p>
        </w:tc>
      </w:tr>
      <w:tr>
        <w:tc>
          <w:tcPr>
            <w:tcW w:type="dxa" w:w="5046"/>
          </w:tcPr>
          <w:p>
            <w:r/>
            <w:r>
              <w:rPr>
                <w:rFonts w:ascii="Arial" w:hAnsi="Arial"/>
                <w:b w:val="0"/>
                <w:sz w:val="16"/>
              </w:rPr>
              <w:t>8</w:t>
            </w:r>
          </w:p>
        </w:tc>
        <w:tc>
          <w:tcPr>
            <w:tcW w:type="dxa" w:w="5046"/>
          </w:tcPr>
          <w:p>
            <w:r/>
            <w:r>
              <w:rPr>
                <w:rFonts w:ascii="Arial" w:hAnsi="Arial"/>
                <w:b w:val="0"/>
                <w:sz w:val="16"/>
              </w:rPr>
              <w:t>Probability of event in below normal category</w:t>
            </w:r>
          </w:p>
        </w:tc>
        <w:tc>
          <w:tcPr>
            <w:tcW w:type="dxa" w:w="5046"/>
          </w:tcPr>
          <w:p>
            <w:r/>
            <w:r>
              <w:rPr>
                <w:rFonts w:ascii="Arial" w:hAnsi="Arial"/>
                <w:b w:val="0"/>
                <w:sz w:val="16"/>
              </w:rPr>
              <w:t>Note 7: Above normal, near normal and below normal are defined as three equiprobable categories based on climatology at each point over the geographical area covered by the grid. The type and methodology of the reference climatology are unspecified and should be documented concurrently by the data producer. | Note 9: Product definition templates that use Code Table 4.9 may contain octets to store the values of lower and upper limits. When categorical probability is used (such as below, near and above normal), these octets shall be set to "all ones" (missing).</w:t>
            </w:r>
          </w:p>
        </w:tc>
      </w:tr>
      <w:tr>
        <w:tc>
          <w:tcPr>
            <w:tcW w:type="dxa" w:w="5046"/>
          </w:tcPr>
          <w:p>
            <w:r/>
            <w:r>
              <w:rPr>
                <w:rFonts w:ascii="Arial" w:hAnsi="Arial"/>
                <w:b w:val="0"/>
                <w:sz w:val="16"/>
              </w:rPr>
              <w:t>9</w:t>
            </w:r>
          </w:p>
        </w:tc>
        <w:tc>
          <w:tcPr>
            <w:tcW w:type="dxa" w:w="5046"/>
          </w:tcPr>
          <w:p>
            <w:r/>
            <w:r>
              <w:rPr>
                <w:rFonts w:ascii="Arial" w:hAnsi="Arial"/>
                <w:b w:val="0"/>
                <w:sz w:val="16"/>
              </w:rPr>
              <w:t>Probability based on counts of categorical boolean</w:t>
            </w:r>
          </w:p>
        </w:tc>
        <w:tc>
          <w:tcPr>
            <w:tcW w:type="dxa" w:w="5046"/>
          </w:tcPr>
          <w:p>
            <w:r/>
            <w:r>
              <w:rPr>
                <w:rFonts w:ascii="Arial" w:hAnsi="Arial"/>
                <w:b w:val="0"/>
                <w:sz w:val="16"/>
              </w:rPr>
              <w:t>Note 155: Scale factor of lower limit, scaled value of lower limit, scale factor of upper limit and scaled value of upper limit must be set to missing. This entry is intended for, but not limited to, entries 5 to 7 in Code table 4.2, discipline 0, category 191.</w:t>
            </w:r>
          </w:p>
        </w:tc>
      </w:tr>
      <w:tr>
        <w:tc>
          <w:tcPr>
            <w:tcW w:type="dxa" w:w="5046"/>
          </w:tcPr>
          <w:p>
            <w:r/>
            <w:r>
              <w:rPr>
                <w:rFonts w:ascii="Arial" w:hAnsi="Arial"/>
                <w:b w:val="0"/>
                <w:sz w:val="16"/>
              </w:rPr>
              <w:t>10</w:t>
            </w:r>
          </w:p>
        </w:tc>
        <w:tc>
          <w:tcPr>
            <w:tcW w:type="dxa" w:w="5046"/>
          </w:tcPr>
          <w:p>
            <w:r/>
            <w:r>
              <w:rPr>
                <w:rFonts w:ascii="Arial" w:hAnsi="Arial"/>
                <w:b w:val="0"/>
                <w:sz w:val="16"/>
              </w:rPr>
              <w:t>Probability of event within the quantile of the probability distribution function</w:t>
            </w:r>
          </w:p>
        </w:tc>
        <w:tc>
          <w:tcPr>
            <w:tcW w:type="dxa" w:w="5046"/>
          </w:tcPr>
          <w:p>
            <w:r/>
            <w:r>
              <w:rPr>
                <w:rFonts w:ascii="Arial" w:hAnsi="Arial"/>
                <w:b w:val="0"/>
                <w:sz w:val="16"/>
              </w:rPr>
              <w:t>Note 164: When using entry 10, the lower limit is used to encode the quantile q (must be an integer between 0 and Q) while the upper limit is used to encode the total number of quantiles Q. This defines the probability of the parameter falling within quantile q. For instance, to encode the probability of falling within the 10th percentile, then q=10 and Q=100; to encode the probability of falling within the 1st tercile, then q=1 and Q=3.</w:t>
            </w:r>
          </w:p>
        </w:tc>
      </w:tr>
      <w:tr>
        <w:tc>
          <w:tcPr>
            <w:tcW w:type="dxa" w:w="5046"/>
          </w:tcPr>
          <w:p>
            <w:r/>
            <w:r>
              <w:rPr>
                <w:rFonts w:ascii="Arial" w:hAnsi="Arial"/>
                <w:b w:val="0"/>
                <w:sz w:val="16"/>
              </w:rPr>
              <w:t>11-191</w:t>
            </w:r>
          </w:p>
        </w:tc>
        <w:tc>
          <w:tcPr>
            <w:tcW w:type="dxa" w:w="5046"/>
          </w:tcPr>
          <w:p>
            <w:r/>
            <w:r>
              <w:rPr>
                <w:rFonts w:ascii="Arial" w:hAnsi="Arial"/>
                <w:b w:val="0"/>
                <w:sz w:val="16"/>
              </w:rPr>
              <w:t>Reserved</w:t>
            </w:r>
          </w:p>
        </w:tc>
        <w:tc>
          <w:tcPr>
            <w:tcW w:type="dxa" w:w="5046"/>
          </w:tcPr>
          <w:p>
            <w:r/>
            <w:r>
              <w:rPr>
                <w:rFonts w:ascii="Arial" w:hAnsi="Arial"/>
                <w:b w:val="0"/>
                <w:sz w:val="16"/>
              </w:rPr>
            </w:r>
          </w:p>
        </w:tc>
      </w:tr>
      <w:tr>
        <w:tc>
          <w:tcPr>
            <w:tcW w:type="dxa" w:w="5046"/>
          </w:tcPr>
          <w:p>
            <w:r/>
            <w:r>
              <w:rPr>
                <w:rFonts w:ascii="Arial" w:hAnsi="Arial"/>
                <w:b w:val="0"/>
                <w:sz w:val="16"/>
              </w:rPr>
              <w:t>192-254</w:t>
            </w:r>
          </w:p>
        </w:tc>
        <w:tc>
          <w:tcPr>
            <w:tcW w:type="dxa" w:w="5046"/>
          </w:tcPr>
          <w:p>
            <w:r/>
            <w:r>
              <w:rPr>
                <w:rFonts w:ascii="Arial" w:hAnsi="Arial"/>
                <w:b w:val="0"/>
                <w:sz w:val="16"/>
              </w:rPr>
              <w:t>Reserved for local use</w:t>
            </w:r>
          </w:p>
        </w:tc>
        <w:tc>
          <w:tcPr>
            <w:tcW w:type="dxa" w:w="5046"/>
          </w:tcPr>
          <w:p>
            <w:r/>
            <w:r>
              <w:rPr>
                <w:rFonts w:ascii="Arial" w:hAnsi="Arial"/>
                <w:b w:val="0"/>
                <w:sz w:val="16"/>
              </w:rPr>
            </w:r>
          </w:p>
        </w:tc>
      </w:tr>
      <w:tr>
        <w:tc>
          <w:tcPr>
            <w:tcW w:type="dxa" w:w="5046"/>
          </w:tcPr>
          <w:p>
            <w:r/>
            <w:r>
              <w:rPr>
                <w:rFonts w:ascii="Arial" w:hAnsi="Arial"/>
                <w:b w:val="0"/>
                <w:sz w:val="16"/>
              </w:rPr>
              <w:t>255</w:t>
            </w:r>
          </w:p>
        </w:tc>
        <w:tc>
          <w:tcPr>
            <w:tcW w:type="dxa" w:w="5046"/>
          </w:tcPr>
          <w:p>
            <w:r/>
            <w:r>
              <w:rPr>
                <w:rFonts w:ascii="Arial" w:hAnsi="Arial"/>
                <w:b w:val="0"/>
                <w:sz w:val="16"/>
              </w:rPr>
              <w:t>Missing</w:t>
            </w:r>
          </w:p>
        </w:tc>
        <w:tc>
          <w:tcPr>
            <w:tcW w:type="dxa" w:w="5046"/>
          </w:tcPr>
          <w:p>
            <w:r/>
            <w:r>
              <w:rPr>
                <w:rFonts w:ascii="Arial" w:hAnsi="Arial"/>
                <w:b w:val="0"/>
                <w:sz w:val="16"/>
              </w:rPr>
            </w:r>
          </w:p>
        </w:tc>
      </w:tr>
    </w:tbl>
    <w:sectPr w:rsidR="00FC693F" w:rsidRPr="0006063C" w:rsidSect="00034616">
      <w:pgSz w:w="16838" w:h="11906" w:orient="landscape"/>
      <w:pgMar w:top="1440" w:right="850" w:bottom="144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