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Lambert conformal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number of points along the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number of points along the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Resolution and component flags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114: The resolution flags (bits 3-4 of Flag table 3.3) are not applicable.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 where Dx and Dy are specified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longitude of meridian parallel to y-axis along which latitude increases as the y-coordinate increases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51: LoV is the longitude value of the meridian which is parallel to the y-axis (or columns of the grid) along which latitude increases as the y-coordinate increases (the orientation longitude may or may not appear on a particular grid).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x-direction grid 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28: Grid length is in units of 10-3 m at the latitude specified by LaD.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y-direction grid length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28: Grid length is in units of 10-3 m at the latitude specified by LaD.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centre flag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Latin 1 - first latitude from the pole at which the secant cone cuts the sphere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Latin 2 - second latitude from the pole at which the secant cone cuts the sphere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of the southern pole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of the southern pole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