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spectral Mercator with modelling subdomains definition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Spectral representation type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3.6)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- bi-Fourier resolution parameter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20-23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 - bi-Fourier resolution parameter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Bi-Fourier truncation type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3.25)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Lx - size in metres of the domain along x-axis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33-40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Lux - size in metres of model forecast subdomain along x-axis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41-48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Lcx - width in metres of coupling area within forecast domain along x-axis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49-56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Ly - size in metres of the domain along y-axis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57-64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Luy - size in metres of model forecast subdomain along y-axis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65-72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Lcy - width in metres of coupling area within forecast domain along y-axis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Shape of the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3.2)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radius of spherical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75-78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radius of spherical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major axis of oblate spheroid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80-83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major axis of oblate spheroid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minor axis of oblate spheroid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85-88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minor axis of oblate spheroid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89-92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La1 - latitude of first grid point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93-96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Lo1 - longitude of first grid point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97-100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LaD - latitude(s) at which the Mercator projection intersects the Earth (latitude(s) where Di and Dj are specified)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101-104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La2 - latitude of last grid point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105-108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Lo2 - longitude of last grid point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109-112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Orientation of the grid, angle between i-direction on the map and the Equator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