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spectral polar stereographic with modelling subdomains definition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Spectral representation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3.6)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16-19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N - bi-Fourier resolution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20-23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M - bi-Fourier resolution parameter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Bi-Fourier truncation type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3.25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25-32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Lx - size in metres of the domain along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33-40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Lux - size in metres of model forecast subdomain along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41-48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Lcx - width in metres of coupling area within forecast domain along x-axis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49-56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Ly - size in metres of the domain along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57-64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Luy - size in metres of model forecast subdomain along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65-72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Lcy - width in metres of coupling area within forecast domain along y-axis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Shape of the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Code table 3.2)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3.2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75-78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radius of spherical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79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80-83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major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 factor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85-88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Scaled value of minor axis of oblate spheroid Earth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89-92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La1 - latitude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93-96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Lo1 - longitude of first grid point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97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Resolution and component flags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3.3)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98-101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LaD - latitude where Dx and Dy are specified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102-105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LoV - orientation of the grid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106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Projection centre flag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(see Flag table 3.5)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