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large ensemble forecast, control and perturbed,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40-43</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44-45</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56-67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64-67</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68-nn   These octets are included only if n &gt; 1, where nn = 55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68-79</w:t>
            </w:r>
          </w:p>
        </w:tc>
        <w:tc>
          <w:tcPr>
            <w:tcW w:type="dxa" w:w="3028"/>
          </w:tcPr>
          <w:p>
            <w:r/>
            <w:r>
              <w:rPr>
                <w:rFonts w:ascii="Arial" w:hAnsi="Arial"/>
                <w:b w:val="0"/>
                <w:sz w:val="16"/>
              </w:rPr>
              <w:t>12</w:t>
            </w:r>
          </w:p>
        </w:tc>
        <w:tc>
          <w:tcPr>
            <w:tcW w:type="dxa" w:w="3028"/>
          </w:tcPr>
          <w:p>
            <w:r/>
            <w:r>
              <w:rPr>
                <w:rFonts w:ascii="Arial" w:hAnsi="Arial"/>
                <w:b w:val="0"/>
                <w:sz w:val="16"/>
              </w:rPr>
              <w:t>As octets 56 to 67,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56 to 67,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