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Probability forecasts from large ensemble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18</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36-39</w:t>
            </w:r>
          </w:p>
        </w:tc>
        <w:tc>
          <w:tcPr>
            <w:tcW w:type="dxa" w:w="3028"/>
          </w:tcPr>
          <w:p>
            <w:r/>
            <w:r>
              <w:rPr>
                <w:rFonts w:ascii="Arial" w:hAnsi="Arial"/>
                <w:b w:val="0"/>
                <w:sz w:val="16"/>
              </w:rPr>
              <w:t>4</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Forecast probability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Total number of forecast probabilities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Probability type</w:t>
            </w:r>
          </w:p>
        </w:tc>
        <w:tc>
          <w:tcPr>
            <w:tcW w:type="dxa" w:w="3028"/>
          </w:tcPr>
          <w:p>
            <w:r/>
            <w:r>
              <w:rPr>
                <w:rFonts w:ascii="Arial" w:hAnsi="Arial"/>
                <w:b w:val="0"/>
                <w:sz w:val="16"/>
              </w:rPr>
              <w:t>(see Code table 4.9)</w:t>
            </w:r>
          </w:p>
        </w:tc>
        <w:tc>
          <w:tcPr>
            <w:tcW w:type="dxa" w:w="3028"/>
          </w:tcPr>
          <w:p>
            <w:r/>
            <w:r>
              <w:rPr>
                <w:rFonts w:ascii="Arial" w:hAnsi="Arial"/>
                <w:b w:val="0"/>
                <w:sz w:val="16"/>
              </w:rPr>
              <w:t>Code table 4.9</w:t>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Scale factor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44-47</w:t>
            </w:r>
          </w:p>
        </w:tc>
        <w:tc>
          <w:tcPr>
            <w:tcW w:type="dxa" w:w="3028"/>
          </w:tcPr>
          <w:p>
            <w:r/>
            <w:r>
              <w:rPr>
                <w:rFonts w:ascii="Arial" w:hAnsi="Arial"/>
                <w:b w:val="0"/>
                <w:sz w:val="16"/>
              </w:rPr>
              <w:t>4</w:t>
            </w:r>
          </w:p>
        </w:tc>
        <w:tc>
          <w:tcPr>
            <w:tcW w:type="dxa" w:w="3028"/>
          </w:tcPr>
          <w:p>
            <w:r/>
            <w:r>
              <w:rPr>
                <w:rFonts w:ascii="Arial" w:hAnsi="Arial"/>
                <w:b w:val="0"/>
                <w:sz w:val="16"/>
              </w:rPr>
              <w:t>Scaled value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Scale factor of upper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49-52</w:t>
            </w:r>
          </w:p>
        </w:tc>
        <w:tc>
          <w:tcPr>
            <w:tcW w:type="dxa" w:w="3028"/>
          </w:tcPr>
          <w:p>
            <w:r/>
            <w:r>
              <w:rPr>
                <w:rFonts w:ascii="Arial" w:hAnsi="Arial"/>
                <w:b w:val="0"/>
                <w:sz w:val="16"/>
              </w:rPr>
              <w:t>4</w:t>
            </w:r>
          </w:p>
        </w:tc>
        <w:tc>
          <w:tcPr>
            <w:tcW w:type="dxa" w:w="3028"/>
          </w:tcPr>
          <w:p>
            <w:r/>
            <w:r>
              <w:rPr>
                <w:rFonts w:ascii="Arial" w:hAnsi="Arial"/>
                <w:b w:val="0"/>
                <w:sz w:val="16"/>
              </w:rPr>
              <w:t>Scaled value of upper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53-54</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61-64</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the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65-76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66</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67</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68-71</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72</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73-76</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95: The reference and forecast times are successively set to their initial values plus or minus the increment, as defined by the type of time increment (one of octets 46, 58, 70, ...). For all but the innermost (last) time range, the next inner range is then processed using these references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77-nn   These octets are included only if n &gt; 1, where nn = 64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77-88</w:t>
            </w:r>
          </w:p>
        </w:tc>
        <w:tc>
          <w:tcPr>
            <w:tcW w:type="dxa" w:w="3028"/>
          </w:tcPr>
          <w:p>
            <w:r/>
            <w:r>
              <w:rPr>
                <w:rFonts w:ascii="Arial" w:hAnsi="Arial"/>
                <w:b w:val="0"/>
                <w:sz w:val="16"/>
              </w:rPr>
              <w:t>12</w:t>
            </w:r>
          </w:p>
        </w:tc>
        <w:tc>
          <w:tcPr>
            <w:tcW w:type="dxa" w:w="3028"/>
          </w:tcPr>
          <w:p>
            <w:r/>
            <w:r>
              <w:rPr>
                <w:rFonts w:ascii="Arial" w:hAnsi="Arial"/>
                <w:b w:val="0"/>
                <w:sz w:val="16"/>
              </w:rPr>
              <w:t>As octets 65 to 76,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89-nn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65 to 76,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