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Probability forecasts with spatiotemporal processing based on focal (moving window) statistics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Scale factor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Scaled value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53-54</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the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65-76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66</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67</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68-71</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95: The reference and forecast times are successively set to their initial values plus or minus the increment, as defined by the type of time increment (one of octets 46, 58, 70, ...). For all but the innermost (last) time range, the next inner range is then processed using these references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77-nn   These octets are included only if n &gt; 1, where nn = 64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77-88</w:t>
            </w:r>
          </w:p>
        </w:tc>
        <w:tc>
          <w:tcPr>
            <w:tcW w:type="dxa" w:w="3028"/>
          </w:tcPr>
          <w:p>
            <w:r/>
            <w:r>
              <w:rPr>
                <w:rFonts w:ascii="Arial" w:hAnsi="Arial"/>
                <w:b w:val="0"/>
                <w:sz w:val="16"/>
              </w:rPr>
              <w:t>12</w:t>
            </w:r>
          </w:p>
        </w:tc>
        <w:tc>
          <w:tcPr>
            <w:tcW w:type="dxa" w:w="3028"/>
          </w:tcPr>
          <w:p>
            <w:r/>
            <w:r>
              <w:rPr>
                <w:rFonts w:ascii="Arial" w:hAnsi="Arial"/>
                <w:b w:val="0"/>
                <w:sz w:val="16"/>
              </w:rPr>
              <w:t>As octets 65 to 76,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89-nn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65 to 76, repeated as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 + 1</w:t>
            </w:r>
          </w:p>
        </w:tc>
        <w:tc>
          <w:tcPr>
            <w:tcW w:type="dxa" w:w="3028"/>
          </w:tcPr>
          <w:p>
            <w:r/>
            <w:r>
              <w:rPr>
                <w:rFonts w:ascii="Arial" w:hAnsi="Arial"/>
                <w:b w:val="0"/>
                <w:sz w:val="16"/>
              </w:rPr>
            </w:r>
          </w:p>
        </w:tc>
        <w:tc>
          <w:tcPr>
            <w:tcW w:type="dxa" w:w="3028"/>
          </w:tcPr>
          <w:p>
            <w:r/>
            <w:r>
              <w:rPr>
                <w:rFonts w:ascii="Arial" w:hAnsi="Arial"/>
                <w:b w:val="0"/>
                <w:sz w:val="16"/>
              </w:rPr>
              <w:t>Spatial vicinity type</w:t>
            </w:r>
          </w:p>
        </w:tc>
        <w:tc>
          <w:tcPr>
            <w:tcW w:type="dxa" w:w="3028"/>
          </w:tcPr>
          <w:p>
            <w:r/>
            <w:r>
              <w:rPr>
                <w:rFonts w:ascii="Arial" w:hAnsi="Arial"/>
                <w:b w:val="0"/>
                <w:sz w:val="16"/>
              </w:rPr>
              <w:t>(see Code table 4.103)</w:t>
            </w:r>
          </w:p>
        </w:tc>
        <w:tc>
          <w:tcPr>
            <w:tcW w:type="dxa" w:w="3028"/>
          </w:tcPr>
          <w:p>
            <w:r/>
            <w:r>
              <w:rPr>
                <w:rFonts w:ascii="Arial" w:hAnsi="Arial"/>
                <w:b w:val="0"/>
                <w:sz w:val="16"/>
              </w:rPr>
              <w:t>Code table 4.103</w:t>
            </w:r>
          </w:p>
        </w:tc>
      </w:tr>
      <w:tr>
        <w:tc>
          <w:tcPr>
            <w:tcW w:type="dxa" w:w="3028"/>
          </w:tcPr>
          <w:p>
            <w:r/>
            <w:r>
              <w:rPr>
                <w:rFonts w:ascii="Arial" w:hAnsi="Arial"/>
                <w:b w:val="0"/>
                <w:sz w:val="16"/>
              </w:rPr>
              <w:t>nn + 2</w:t>
            </w:r>
          </w:p>
        </w:tc>
        <w:tc>
          <w:tcPr>
            <w:tcW w:type="dxa" w:w="3028"/>
          </w:tcPr>
          <w:p>
            <w:r/>
            <w:r>
              <w:rPr>
                <w:rFonts w:ascii="Arial" w:hAnsi="Arial"/>
                <w:b w:val="0"/>
                <w:sz w:val="16"/>
              </w:rPr>
            </w:r>
          </w:p>
        </w:tc>
        <w:tc>
          <w:tcPr>
            <w:tcW w:type="dxa" w:w="3028"/>
          </w:tcPr>
          <w:p>
            <w:r/>
            <w:r>
              <w:rPr>
                <w:rFonts w:ascii="Arial" w:hAnsi="Arial"/>
                <w:b w:val="0"/>
                <w:sz w:val="16"/>
              </w:rPr>
              <w:t>Number of spatial vicinity values (NSV)</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entry repeats nsv=1:NSV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 + 3+(nsv-1)*4)-(nn + 6+(nsv-1)*4)</w:t>
            </w:r>
          </w:p>
        </w:tc>
        <w:tc>
          <w:tcPr>
            <w:tcW w:type="dxa" w:w="3028"/>
          </w:tcPr>
          <w:p>
            <w:r/>
            <w:r>
              <w:rPr>
                <w:rFonts w:ascii="Arial" w:hAnsi="Arial"/>
                <w:b w:val="0"/>
                <w:sz w:val="16"/>
              </w:rPr>
            </w:r>
          </w:p>
        </w:tc>
        <w:tc>
          <w:tcPr>
            <w:tcW w:type="dxa" w:w="3028"/>
          </w:tcPr>
          <w:p>
            <w:r/>
            <w:r>
              <w:rPr>
                <w:rFonts w:ascii="Arial" w:hAnsi="Arial"/>
                <w:b w:val="0"/>
                <w:sz w:val="16"/>
              </w:rPr>
              <w:t>Spatial vicinity value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 + 7+(nsv-1)*4</w:t>
            </w:r>
          </w:p>
        </w:tc>
        <w:tc>
          <w:tcPr>
            <w:tcW w:type="dxa" w:w="3028"/>
          </w:tcPr>
          <w:p>
            <w:r/>
            <w:r>
              <w:rPr>
                <w:rFonts w:ascii="Arial" w:hAnsi="Arial"/>
                <w:b w:val="0"/>
                <w:sz w:val="16"/>
              </w:rPr>
            </w:r>
          </w:p>
        </w:tc>
        <w:tc>
          <w:tcPr>
            <w:tcW w:type="dxa" w:w="3028"/>
          </w:tcPr>
          <w:p>
            <w:r/>
            <w:r>
              <w:rPr>
                <w:rFonts w:ascii="Arial" w:hAnsi="Arial"/>
                <w:b w:val="0"/>
                <w:sz w:val="16"/>
              </w:rPr>
              <w:t>Spatial vicinity processing</w:t>
            </w:r>
          </w:p>
        </w:tc>
        <w:tc>
          <w:tcPr>
            <w:tcW w:type="dxa" w:w="3028"/>
          </w:tcPr>
          <w:p>
            <w:r/>
            <w:r>
              <w:rPr>
                <w:rFonts w:ascii="Arial" w:hAnsi="Arial"/>
                <w:b w:val="0"/>
                <w:sz w:val="16"/>
              </w:rPr>
              <w:t>(see Code table 4.104)</w:t>
            </w:r>
          </w:p>
        </w:tc>
        <w:tc>
          <w:tcPr>
            <w:tcW w:type="dxa" w:w="3028"/>
          </w:tcPr>
          <w:p>
            <w:r/>
            <w:r>
              <w:rPr>
                <w:rFonts w:ascii="Arial" w:hAnsi="Arial"/>
                <w:b w:val="0"/>
                <w:sz w:val="16"/>
              </w:rPr>
              <w:t>Code table 4.104</w:t>
            </w:r>
          </w:p>
        </w:tc>
      </w:tr>
      <w:tr>
        <w:tc>
          <w:tcPr>
            <w:tcW w:type="dxa" w:w="3028"/>
          </w:tcPr>
          <w:p>
            <w:r/>
            <w:r>
              <w:rPr>
                <w:rFonts w:ascii="Arial" w:hAnsi="Arial"/>
                <w:b w:val="0"/>
                <w:sz w:val="16"/>
              </w:rPr>
              <w:t>(nn + 8+(nsv-1)*4)-(nn + 9+(nsv-1)*4)</w:t>
            </w:r>
          </w:p>
        </w:tc>
        <w:tc>
          <w:tcPr>
            <w:tcW w:type="dxa" w:w="3028"/>
          </w:tcPr>
          <w:p>
            <w:r/>
            <w:r>
              <w:rPr>
                <w:rFonts w:ascii="Arial" w:hAnsi="Arial"/>
                <w:b w:val="0"/>
                <w:sz w:val="16"/>
              </w:rPr>
            </w:r>
          </w:p>
        </w:tc>
        <w:tc>
          <w:tcPr>
            <w:tcW w:type="dxa" w:w="3028"/>
          </w:tcPr>
          <w:p>
            <w:r/>
            <w:r>
              <w:rPr>
                <w:rFonts w:ascii="Arial" w:hAnsi="Arial"/>
                <w:b w:val="0"/>
                <w:sz w:val="16"/>
              </w:rPr>
              <w:t>Spatial vicinity processing argument 1 (e.g., if previous is quantile)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 + 10+(nsv-1)*4)-(nn + 11+(nsv-1)*4)</w:t>
            </w:r>
          </w:p>
        </w:tc>
        <w:tc>
          <w:tcPr>
            <w:tcW w:type="dxa" w:w="3028"/>
          </w:tcPr>
          <w:p>
            <w:r/>
            <w:r>
              <w:rPr>
                <w:rFonts w:ascii="Arial" w:hAnsi="Arial"/>
                <w:b w:val="0"/>
                <w:sz w:val="16"/>
              </w:rPr>
            </w:r>
          </w:p>
        </w:tc>
        <w:tc>
          <w:tcPr>
            <w:tcW w:type="dxa" w:w="3028"/>
          </w:tcPr>
          <w:p>
            <w:r/>
            <w:r>
              <w:rPr>
                <w:rFonts w:ascii="Arial" w:hAnsi="Arial"/>
                <w:b w:val="0"/>
                <w:sz w:val="16"/>
              </w:rPr>
              <w:t>Spatial vicinity processing argument 2 (e.g., if previous is quantile)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 + 12+(nsv-1)*4</w:t>
            </w:r>
          </w:p>
        </w:tc>
        <w:tc>
          <w:tcPr>
            <w:tcW w:type="dxa" w:w="3028"/>
          </w:tcPr>
          <w:p>
            <w:r/>
            <w:r>
              <w:rPr>
                <w:rFonts w:ascii="Arial" w:hAnsi="Arial"/>
                <w:b w:val="0"/>
                <w:sz w:val="16"/>
              </w:rPr>
            </w:r>
          </w:p>
        </w:tc>
        <w:tc>
          <w:tcPr>
            <w:tcW w:type="dxa" w:w="3028"/>
          </w:tcPr>
          <w:p>
            <w:r/>
            <w:r>
              <w:rPr>
                <w:rFonts w:ascii="Arial" w:hAnsi="Arial"/>
                <w:b w:val="0"/>
                <w:sz w:val="16"/>
              </w:rPr>
              <w:t>Spatial vicinity missing data</w:t>
            </w:r>
          </w:p>
        </w:tc>
        <w:tc>
          <w:tcPr>
            <w:tcW w:type="dxa" w:w="3028"/>
          </w:tcPr>
          <w:p>
            <w:r/>
            <w:r>
              <w:rPr>
                <w:rFonts w:ascii="Arial" w:hAnsi="Arial"/>
                <w:b w:val="0"/>
                <w:sz w:val="16"/>
              </w:rPr>
              <w:t>(see Code table 4.105)</w:t>
            </w:r>
          </w:p>
        </w:tc>
        <w:tc>
          <w:tcPr>
            <w:tcW w:type="dxa" w:w="3028"/>
          </w:tcPr>
          <w:p>
            <w:r/>
            <w:r>
              <w:rPr>
                <w:rFonts w:ascii="Arial" w:hAnsi="Arial"/>
                <w:b w:val="0"/>
                <w:sz w:val="16"/>
              </w:rPr>
              <w:t>Code table 4.105</w:t>
            </w:r>
          </w:p>
        </w:tc>
      </w:tr>
      <w:tr>
        <w:tc>
          <w:tcPr>
            <w:tcW w:type="dxa" w:w="3028"/>
          </w:tcPr>
          <w:p>
            <w:r/>
            <w:r>
              <w:rPr>
                <w:rFonts w:ascii="Arial" w:hAnsi="Arial"/>
                <w:b w:val="0"/>
                <w:sz w:val="16"/>
              </w:rPr>
              <w:t>(nn + 13+(nsv-1)*4)</w:t>
            </w:r>
          </w:p>
        </w:tc>
        <w:tc>
          <w:tcPr>
            <w:tcW w:type="dxa" w:w="3028"/>
          </w:tcPr>
          <w:p>
            <w:r/>
            <w:r>
              <w:rPr>
                <w:rFonts w:ascii="Arial" w:hAnsi="Arial"/>
                <w:b w:val="0"/>
                <w:sz w:val="16"/>
              </w:rPr>
            </w:r>
          </w:p>
        </w:tc>
        <w:tc>
          <w:tcPr>
            <w:tcW w:type="dxa" w:w="3028"/>
          </w:tcPr>
          <w:p>
            <w:r/>
            <w:r>
              <w:rPr>
                <w:rFonts w:ascii="Arial" w:hAnsi="Arial"/>
                <w:b w:val="0"/>
                <w:sz w:val="16"/>
              </w:rPr>
              <w:t>Temporal vicinity processing</w:t>
            </w:r>
          </w:p>
        </w:tc>
        <w:tc>
          <w:tcPr>
            <w:tcW w:type="dxa" w:w="3028"/>
          </w:tcPr>
          <w:p>
            <w:r/>
            <w:r>
              <w:rPr>
                <w:rFonts w:ascii="Arial" w:hAnsi="Arial"/>
                <w:b w:val="0"/>
                <w:sz w:val="16"/>
              </w:rPr>
              <w:t>(see Code table 4.104)</w:t>
            </w:r>
          </w:p>
        </w:tc>
        <w:tc>
          <w:tcPr>
            <w:tcW w:type="dxa" w:w="3028"/>
          </w:tcPr>
          <w:p>
            <w:r/>
            <w:r>
              <w:rPr>
                <w:rFonts w:ascii="Arial" w:hAnsi="Arial"/>
                <w:b w:val="0"/>
                <w:sz w:val="16"/>
              </w:rPr>
              <w:t>Code table 4.104</w:t>
            </w:r>
          </w:p>
        </w:tc>
      </w:tr>
      <w:tr>
        <w:tc>
          <w:tcPr>
            <w:tcW w:type="dxa" w:w="3028"/>
          </w:tcPr>
          <w:p>
            <w:r/>
            <w:r>
              <w:rPr>
                <w:rFonts w:ascii="Arial" w:hAnsi="Arial"/>
                <w:b w:val="0"/>
                <w:sz w:val="16"/>
              </w:rPr>
              <w:t>(nn + 14+(nsv-1)*4)</w:t>
            </w:r>
          </w:p>
        </w:tc>
        <w:tc>
          <w:tcPr>
            <w:tcW w:type="dxa" w:w="3028"/>
          </w:tcPr>
          <w:p>
            <w:r/>
            <w:r>
              <w:rPr>
                <w:rFonts w:ascii="Arial" w:hAnsi="Arial"/>
                <w:b w:val="0"/>
                <w:sz w:val="16"/>
              </w:rPr>
            </w:r>
          </w:p>
        </w:tc>
        <w:tc>
          <w:tcPr>
            <w:tcW w:type="dxa" w:w="3028"/>
          </w:tcPr>
          <w:p>
            <w:r/>
            <w:r>
              <w:rPr>
                <w:rFonts w:ascii="Arial" w:hAnsi="Arial"/>
                <w:b w:val="0"/>
                <w:sz w:val="16"/>
              </w:rPr>
              <w:t>Temporal vicinity unit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(nn + 15+(nsv-1)*4)-(nn + 18+(nsv-1)*4)</w:t>
            </w:r>
          </w:p>
        </w:tc>
        <w:tc>
          <w:tcPr>
            <w:tcW w:type="dxa" w:w="3028"/>
          </w:tcPr>
          <w:p>
            <w:r/>
            <w:r>
              <w:rPr>
                <w:rFonts w:ascii="Arial" w:hAnsi="Arial"/>
                <w:b w:val="0"/>
                <w:sz w:val="16"/>
              </w:rPr>
            </w:r>
          </w:p>
        </w:tc>
        <w:tc>
          <w:tcPr>
            <w:tcW w:type="dxa" w:w="3028"/>
          </w:tcPr>
          <w:p>
            <w:r/>
            <w:r>
              <w:rPr>
                <w:rFonts w:ascii="Arial" w:hAnsi="Arial"/>
                <w:b w:val="0"/>
                <w:sz w:val="16"/>
              </w:rPr>
              <w:t>Temporal vicinity towards past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(nn + 19+(nsv-1)*4)-(nn + 22+(nsv-1)*4)</w:t>
            </w:r>
          </w:p>
        </w:tc>
        <w:tc>
          <w:tcPr>
            <w:tcW w:type="dxa" w:w="3028"/>
          </w:tcPr>
          <w:p>
            <w:r/>
            <w:r>
              <w:rPr>
                <w:rFonts w:ascii="Arial" w:hAnsi="Arial"/>
                <w:b w:val="0"/>
                <w:sz w:val="16"/>
              </w:rPr>
            </w:r>
          </w:p>
        </w:tc>
        <w:tc>
          <w:tcPr>
            <w:tcW w:type="dxa" w:w="3028"/>
          </w:tcPr>
          <w:p>
            <w:r/>
            <w:r>
              <w:rPr>
                <w:rFonts w:ascii="Arial" w:hAnsi="Arial"/>
                <w:b w:val="0"/>
                <w:sz w:val="16"/>
              </w:rPr>
              <w:t>Temporal vicinity towards future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