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derived forecasts based on all ensemble members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18</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Derived forecast</w:t>
            </w:r>
          </w:p>
        </w:tc>
        <w:tc>
          <w:tcPr>
            <w:tcW w:type="dxa" w:w="3028"/>
          </w:tcPr>
          <w:p>
            <w:r/>
            <w:r>
              <w:rPr>
                <w:rFonts w:ascii="Arial" w:hAnsi="Arial"/>
                <w:b w:val="0"/>
                <w:sz w:val="16"/>
              </w:rPr>
              <w:t>(see Code table 4.7)</w:t>
            </w:r>
          </w:p>
        </w:tc>
        <w:tc>
          <w:tcPr>
            <w:tcW w:type="dxa" w:w="3028"/>
          </w:tcPr>
          <w:p>
            <w:r/>
            <w:r>
              <w:rPr>
                <w:rFonts w:ascii="Arial" w:hAnsi="Arial"/>
                <w:b w:val="0"/>
                <w:sz w:val="16"/>
              </w:rPr>
              <w:t>Code table 4.7</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Number of forecasts in the ensemble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37-38</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45-48</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49-60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57-60</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97: The reference and forecast times are successively set to their initial values plus or minus the increment, as defined by the type of time increment (one of octets 50, 62, 74,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61-nn   These octets are included only if n &gt; 1, where nn = 48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61-72</w:t>
            </w:r>
          </w:p>
        </w:tc>
        <w:tc>
          <w:tcPr>
            <w:tcW w:type="dxa" w:w="3028"/>
          </w:tcPr>
          <w:p>
            <w:r/>
            <w:r>
              <w:rPr>
                <w:rFonts w:ascii="Arial" w:hAnsi="Arial"/>
                <w:b w:val="0"/>
                <w:sz w:val="16"/>
              </w:rPr>
              <w:t>12</w:t>
            </w:r>
          </w:p>
        </w:tc>
        <w:tc>
          <w:tcPr>
            <w:tcW w:type="dxa" w:w="3028"/>
          </w:tcPr>
          <w:p>
            <w:r/>
            <w:r>
              <w:rPr>
                <w:rFonts w:ascii="Arial" w:hAnsi="Arial"/>
                <w:b w:val="0"/>
                <w:sz w:val="16"/>
              </w:rPr>
              <w:t>As octets 49 to 60,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49 to 60,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