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Quantile forecasts of anomalies, significance and other derived products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Total number of quantile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37-38</w:t>
            </w:r>
          </w:p>
        </w:tc>
        <w:tc>
          <w:tcPr>
            <w:tcW w:type="dxa" w:w="3028"/>
          </w:tcPr>
          <w:p>
            <w:r/>
            <w:r>
              <w:rPr>
                <w:rFonts w:ascii="Arial" w:hAnsi="Arial"/>
                <w:b w:val="0"/>
                <w:sz w:val="16"/>
              </w:rPr>
              <w:t>2</w:t>
            </w:r>
          </w:p>
        </w:tc>
        <w:tc>
          <w:tcPr>
            <w:tcW w:type="dxa" w:w="3028"/>
          </w:tcPr>
          <w:p>
            <w:r/>
            <w:r>
              <w:rPr>
                <w:rFonts w:ascii="Arial" w:hAnsi="Arial"/>
                <w:b w:val="0"/>
                <w:sz w:val="16"/>
              </w:rPr>
              <w:t>Quantile value (between 0 and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(43+(na-1)*5)-(46+(na-1)*5)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(42+NA*5)-(43+NA*5)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(49+NA*5)-(52+NA*5)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55+NA*5+(nr-1)*6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(56+NA*5+(nr-1)*6)-(59+NA*5+(nr-1)*6)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