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Analysis or forecast at a horizontal level or in a horizontal layer in a continuous or non-continuous time interval for waves selected by period range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wave period interval</w:t>
            </w:r>
          </w:p>
        </w:tc>
        <w:tc>
          <w:tcPr>
            <w:tcW w:type="dxa" w:w="3028"/>
          </w:tcPr>
          <w:p>
            <w:r/>
            <w:r>
              <w:rPr>
                <w:rFonts w:ascii="Arial" w:hAnsi="Arial"/>
                <w:b w:val="0"/>
                <w:sz w:val="16"/>
              </w:rPr>
              <w:t>(see Code table 4.91)</w:t>
            </w:r>
          </w:p>
        </w:tc>
        <w:tc>
          <w:tcPr>
            <w:tcW w:type="dxa" w:w="3028"/>
          </w:tcPr>
          <w:p>
            <w:r/>
            <w:r>
              <w:rPr>
                <w:rFonts w:ascii="Arial" w:hAnsi="Arial"/>
                <w:b w:val="0"/>
                <w:sz w:val="16"/>
              </w:rPr>
              <w:t>Code table 4.91</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Scale factor of lower wave period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14-17</w:t>
            </w:r>
          </w:p>
        </w:tc>
        <w:tc>
          <w:tcPr>
            <w:tcW w:type="dxa" w:w="3028"/>
          </w:tcPr>
          <w:p>
            <w:r/>
            <w:r>
              <w:rPr>
                <w:rFonts w:ascii="Arial" w:hAnsi="Arial"/>
                <w:b w:val="0"/>
                <w:sz w:val="16"/>
              </w:rPr>
              <w:t>4</w:t>
            </w:r>
          </w:p>
        </w:tc>
        <w:tc>
          <w:tcPr>
            <w:tcW w:type="dxa" w:w="3028"/>
          </w:tcPr>
          <w:p>
            <w:r/>
            <w:r>
              <w:rPr>
                <w:rFonts w:ascii="Arial" w:hAnsi="Arial"/>
                <w:b w:val="0"/>
                <w:sz w:val="16"/>
              </w:rPr>
              <w:t>Scaled value of lower wave period limit</w:t>
            </w:r>
          </w:p>
        </w:tc>
        <w:tc>
          <w:tcPr>
            <w:tcW w:type="dxa" w:w="3028"/>
          </w:tcPr>
          <w:p>
            <w:r/>
            <w:r>
              <w:rPr>
                <w:rFonts w:ascii="Arial" w:hAnsi="Arial"/>
                <w:b w:val="0"/>
                <w:sz w:val="16"/>
              </w:rPr>
              <w:t>Note 163: Wave periods should be specified in seconds.</w:t>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Scale factor of upper wave period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Scaled value of upper wave period limit</w:t>
            </w:r>
          </w:p>
        </w:tc>
        <w:tc>
          <w:tcPr>
            <w:tcW w:type="dxa" w:w="3028"/>
          </w:tcPr>
          <w:p>
            <w:r/>
            <w:r>
              <w:rPr>
                <w:rFonts w:ascii="Arial" w:hAnsi="Arial"/>
                <w:b w:val="0"/>
                <w:sz w:val="16"/>
              </w:rPr>
              <w:t>Note 163: Wave periods should be specified in seconds.</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26-27</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28</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30-33</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34</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42-45</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46-47</w:t>
            </w:r>
          </w:p>
        </w:tc>
        <w:tc>
          <w:tcPr>
            <w:tcW w:type="dxa" w:w="3028"/>
          </w:tcPr>
          <w:p>
            <w:r/>
            <w:r>
              <w:rPr>
                <w:rFonts w:ascii="Arial" w:hAnsi="Arial"/>
                <w:b w:val="0"/>
                <w:sz w:val="16"/>
              </w:rPr>
              <w:t>2</w:t>
            </w:r>
          </w:p>
        </w:tc>
        <w:tc>
          <w:tcPr>
            <w:tcW w:type="dxa" w:w="3028"/>
          </w:tcPr>
          <w:p>
            <w:r/>
            <w:r>
              <w:rPr>
                <w:rFonts w:ascii="Arial" w:hAnsi="Arial"/>
                <w:b w:val="0"/>
                <w:sz w:val="16"/>
              </w:rPr>
              <w:t>Year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Month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Day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Hour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Minute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w:t>
            </w:r>
          </w:p>
        </w:tc>
        <w:tc>
          <w:tcPr>
            <w:tcW w:type="dxa" w:w="3028"/>
          </w:tcPr>
          <w:p>
            <w:r/>
            <w:r>
              <w:rPr>
                <w:rFonts w:ascii="Arial" w:hAnsi="Arial"/>
                <w:b w:val="0"/>
                <w:sz w:val="16"/>
              </w:rPr>
              <w:t>1</w:t>
            </w:r>
          </w:p>
        </w:tc>
        <w:tc>
          <w:tcPr>
            <w:tcW w:type="dxa" w:w="3028"/>
          </w:tcPr>
          <w:p>
            <w:r/>
            <w:r>
              <w:rPr>
                <w:rFonts w:ascii="Arial" w:hAnsi="Arial"/>
                <w:b w:val="0"/>
                <w:sz w:val="16"/>
              </w:rPr>
              <w:t>Second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54-57</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58-69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59</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66-69</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96: The reference and forecast times are successively set to their initial values plus or minus the increment, as defined by the type of time increment (one of octets 48, 60, 72,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70-nn   These octets are included only if n &gt; 1, where nn = 58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70-81</w:t>
            </w:r>
          </w:p>
        </w:tc>
        <w:tc>
          <w:tcPr>
            <w:tcW w:type="dxa" w:w="3028"/>
          </w:tcPr>
          <w:p>
            <w:r/>
            <w:r>
              <w:rPr>
                <w:rFonts w:ascii="Arial" w:hAnsi="Arial"/>
                <w:b w:val="0"/>
                <w:sz w:val="16"/>
              </w:rPr>
            </w:r>
          </w:p>
        </w:tc>
        <w:tc>
          <w:tcPr>
            <w:tcW w:type="dxa" w:w="3028"/>
          </w:tcPr>
          <w:p>
            <w:r/>
            <w:r>
              <w:rPr>
                <w:rFonts w:ascii="Arial" w:hAnsi="Arial"/>
                <w:b w:val="0"/>
                <w:sz w:val="16"/>
              </w:rPr>
              <w:t>As octets 58 to 69,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82-nn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58 to 69,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