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derived forecasts based on a cluster of ensemble members over a circular area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Derived forecast</w:t>
            </w:r>
          </w:p>
        </w:tc>
        <w:tc>
          <w:tcPr>
            <w:tcW w:type="dxa" w:w="3028"/>
          </w:tcPr>
          <w:p>
            <w:r/>
            <w:r>
              <w:rPr>
                <w:rFonts w:ascii="Arial" w:hAnsi="Arial"/>
                <w:b w:val="0"/>
                <w:sz w:val="16"/>
              </w:rPr>
              <w:t>(see Code table 4.7)</w:t>
            </w:r>
          </w:p>
        </w:tc>
        <w:tc>
          <w:tcPr>
            <w:tcW w:type="dxa" w:w="3028"/>
          </w:tcPr>
          <w:p>
            <w:r/>
            <w:r>
              <w:rPr>
                <w:rFonts w:ascii="Arial" w:hAnsi="Arial"/>
                <w:b w:val="0"/>
                <w:sz w:val="16"/>
              </w:rPr>
              <w:t>Code table 4.7</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Number of forecasts in the ensemble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Cluster identifier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Number of cluster to which the high-resolution control belongs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Number of cluster to which the low-resolution control belongs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Total number of clusters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Clustering method</w:t>
            </w:r>
          </w:p>
        </w:tc>
        <w:tc>
          <w:tcPr>
            <w:tcW w:type="dxa" w:w="3028"/>
          </w:tcPr>
          <w:p>
            <w:r/>
            <w:r>
              <w:rPr>
                <w:rFonts w:ascii="Arial" w:hAnsi="Arial"/>
                <w:b w:val="0"/>
                <w:sz w:val="16"/>
              </w:rPr>
              <w:t>(see Code table 4.8)</w:t>
            </w:r>
          </w:p>
        </w:tc>
        <w:tc>
          <w:tcPr>
            <w:tcW w:type="dxa" w:w="3028"/>
          </w:tcPr>
          <w:p>
            <w:r/>
            <w:r>
              <w:rPr>
                <w:rFonts w:ascii="Arial" w:hAnsi="Arial"/>
                <w:b w:val="0"/>
                <w:sz w:val="16"/>
              </w:rPr>
              <w:t>Code table 4.8</w:t>
            </w:r>
          </w:p>
        </w:tc>
      </w:tr>
      <w:tr>
        <w:tc>
          <w:tcPr>
            <w:tcW w:type="dxa" w:w="3028"/>
          </w:tcPr>
          <w:p>
            <w:r/>
            <w:r>
              <w:rPr>
                <w:rFonts w:ascii="Arial" w:hAnsi="Arial"/>
                <w:b w:val="0"/>
                <w:sz w:val="16"/>
              </w:rPr>
              <w:t>42-45</w:t>
            </w:r>
          </w:p>
        </w:tc>
        <w:tc>
          <w:tcPr>
            <w:tcW w:type="dxa" w:w="3028"/>
          </w:tcPr>
          <w:p>
            <w:r/>
            <w:r>
              <w:rPr>
                <w:rFonts w:ascii="Arial" w:hAnsi="Arial"/>
                <w:b w:val="0"/>
                <w:sz w:val="16"/>
              </w:rPr>
              <w:t>4</w:t>
            </w:r>
          </w:p>
        </w:tc>
        <w:tc>
          <w:tcPr>
            <w:tcW w:type="dxa" w:w="3028"/>
          </w:tcPr>
          <w:p>
            <w:r/>
            <w:r>
              <w:rPr>
                <w:rFonts w:ascii="Arial" w:hAnsi="Arial"/>
                <w:b w:val="0"/>
                <w:sz w:val="16"/>
              </w:rPr>
              <w:t>Latitude of central point in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46-49</w:t>
            </w:r>
          </w:p>
        </w:tc>
        <w:tc>
          <w:tcPr>
            <w:tcW w:type="dxa" w:w="3028"/>
          </w:tcPr>
          <w:p>
            <w:r/>
            <w:r>
              <w:rPr>
                <w:rFonts w:ascii="Arial" w:hAnsi="Arial"/>
                <w:b w:val="0"/>
                <w:sz w:val="16"/>
              </w:rPr>
              <w:t>4</w:t>
            </w:r>
          </w:p>
        </w:tc>
        <w:tc>
          <w:tcPr>
            <w:tcW w:type="dxa" w:w="3028"/>
          </w:tcPr>
          <w:p>
            <w:r/>
            <w:r>
              <w:rPr>
                <w:rFonts w:ascii="Arial" w:hAnsi="Arial"/>
                <w:b w:val="0"/>
                <w:sz w:val="16"/>
              </w:rPr>
              <w:t>Longitude of central point in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50-53</w:t>
            </w:r>
          </w:p>
        </w:tc>
        <w:tc>
          <w:tcPr>
            <w:tcW w:type="dxa" w:w="3028"/>
          </w:tcPr>
          <w:p>
            <w:r/>
            <w:r>
              <w:rPr>
                <w:rFonts w:ascii="Arial" w:hAnsi="Arial"/>
                <w:b w:val="0"/>
                <w:sz w:val="16"/>
              </w:rPr>
              <w:t>4</w:t>
            </w:r>
          </w:p>
        </w:tc>
        <w:tc>
          <w:tcPr>
            <w:tcW w:type="dxa" w:w="3028"/>
          </w:tcPr>
          <w:p>
            <w:r/>
            <w:r>
              <w:rPr>
                <w:rFonts w:ascii="Arial" w:hAnsi="Arial"/>
                <w:b w:val="0"/>
                <w:sz w:val="16"/>
              </w:rPr>
              <w:t>Radius of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NC - number of forecasts in the cluster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Scale factor of standard deviation in the cluster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Scaled value of standard deviation in the cluster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Scale factor of distance of the cluster from ensemble mean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Scaled value of distance of the cluster from ensemble mean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65-66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77-88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78</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79</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80-83</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84</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85-88</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108: The reference and forecast times are successively set to their initial values plus or minus the increment, as defined by the type of time increment (one of octets 78, 90, 112,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89-nn   These octets are included only if n &gt; 1, where nn = 76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89-110</w:t>
            </w:r>
          </w:p>
        </w:tc>
        <w:tc>
          <w:tcPr>
            <w:tcW w:type="dxa" w:w="3028"/>
          </w:tcPr>
          <w:p>
            <w:r/>
            <w:r>
              <w:rPr>
                <w:rFonts w:ascii="Arial" w:hAnsi="Arial"/>
                <w:b w:val="0"/>
                <w:sz w:val="16"/>
              </w:rPr>
              <w:t>22</w:t>
            </w:r>
          </w:p>
        </w:tc>
        <w:tc>
          <w:tcPr>
            <w:tcW w:type="dxa" w:w="3028"/>
          </w:tcPr>
          <w:p>
            <w:r/>
            <w:r>
              <w:rPr>
                <w:rFonts w:ascii="Arial" w:hAnsi="Arial"/>
                <w:b w:val="0"/>
                <w:sz w:val="16"/>
              </w:rPr>
              <w:t>As octets 77 to 88,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111-nn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77 to 88, repeated as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(nn+1)-(nn+NC)</w:t>
            </w:r>
          </w:p>
        </w:tc>
        <w:tc>
          <w:tcPr>
            <w:tcW w:type="dxa" w:w="3028"/>
          </w:tcPr>
          <w:p>
            <w:r/>
            <w:r>
              <w:rPr>
                <w:rFonts w:ascii="Arial" w:hAnsi="Arial"/>
                <w:b w:val="0"/>
                <w:sz w:val="16"/>
              </w:rPr>
            </w:r>
          </w:p>
        </w:tc>
        <w:tc>
          <w:tcPr>
            <w:tcW w:type="dxa" w:w="3028"/>
          </w:tcPr>
          <w:p>
            <w:r/>
            <w:r>
              <w:rPr>
                <w:rFonts w:ascii="Arial" w:hAnsi="Arial"/>
                <w:b w:val="0"/>
                <w:sz w:val="16"/>
              </w:rPr>
              <w:t>List of NC ensemble forecast numbers (NC is given in octet 54)</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