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large ensemble reforecast, control and perturbed, at a horizontal level or in a horizontal layer, in a continuous or non-continuous time interval for atmospheric chemical constituents</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17-18</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21-24</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20</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33-36</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42-45</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46-47</w:t>
            </w:r>
          </w:p>
        </w:tc>
        <w:tc>
          <w:tcPr>
            <w:tcW w:type="dxa" w:w="3028"/>
          </w:tcPr>
          <w:p>
            <w:r/>
            <w:r>
              <w:rPr>
                <w:rFonts w:ascii="Arial" w:hAnsi="Arial"/>
                <w:b w:val="0"/>
                <w:sz w:val="16"/>
              </w:rPr>
              <w:t>2</w:t>
            </w:r>
          </w:p>
        </w:tc>
        <w:tc>
          <w:tcPr>
            <w:tcW w:type="dxa" w:w="3028"/>
          </w:tcPr>
          <w:p>
            <w:r/>
            <w:r>
              <w:rPr>
                <w:rFonts w:ascii="Arial" w:hAnsi="Arial"/>
                <w:b w:val="0"/>
                <w:sz w:val="16"/>
              </w:rPr>
              <w:t>Year of model version date</w:t>
            </w:r>
          </w:p>
        </w:tc>
        <w:tc>
          <w:tcPr>
            <w:tcW w:type="dxa" w:w="3028"/>
          </w:tcPr>
          <w:p>
            <w:r/>
            <w:r>
              <w:rPr>
                <w:rFonts w:ascii="Arial" w:hAnsi="Arial"/>
                <w:b w:val="0"/>
                <w:sz w:val="16"/>
              </w:rPr>
              <w:t>Note 127: This is the date when the reforecast is produced with a particular version of the model.</w:t>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Month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Day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Hour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Minute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Second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53-54</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65-76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66</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77-nn   These octets are included only if n &gt; 1, where nn = 64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77-88</w:t>
            </w:r>
          </w:p>
        </w:tc>
        <w:tc>
          <w:tcPr>
            <w:tcW w:type="dxa" w:w="3028"/>
          </w:tcPr>
          <w:p>
            <w:r/>
            <w:r>
              <w:rPr>
                <w:rFonts w:ascii="Arial" w:hAnsi="Arial"/>
                <w:b w:val="0"/>
                <w:sz w:val="16"/>
              </w:rPr>
              <w:t>12</w:t>
            </w:r>
          </w:p>
        </w:tc>
        <w:tc>
          <w:tcPr>
            <w:tcW w:type="dxa" w:w="3028"/>
          </w:tcPr>
          <w:p>
            <w:r/>
            <w:r>
              <w:rPr>
                <w:rFonts w:ascii="Arial" w:hAnsi="Arial"/>
                <w:b w:val="0"/>
                <w:sz w:val="16"/>
              </w:rPr>
              <w:t>As octets 65 to 76,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65 to 76,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