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satellite 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 generating process identifier (defined by originating centres)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contributing spectral bands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   Repeat the following 10 octets for each contributing band (nb = 1, 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(15+10(nb-1))-(16+10(nb-1))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Satellite series of band nb (code table defined by originating/generating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14: For "satellite series of band nb", "satellite numbers of band nb" and "instrument types of band nb", it is recommended to encode the values as per BUFR Code tables 0 02 020, 0 01 007 (Common Code table C-5) and 0 02 019 (Common Code table C-8), respectively.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(17+10(nb-1))-(18+10(nb-1))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Satellite numbers of band nb (code table defined by originating/generating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14: For "satellite series of band nb", "satellite numbers of band nb" and "instrument types of band nb", it is recommended to encode the values as per BUFR Code tables 0 02 020, 0 01 007 (Common Code table C-5) and 0 02 019 (Common Code table C-8), respectively.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(19+10(nb-1))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Instrument types of band nb (code table defined by originating/generating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14: For "satellite series of band nb", "satellite numbers of band nb" and "instrument types of band nb", it is recommended to encode the values as per BUFR Code tables 0 02 020, 0 01 007 (Common Code table C-5) and 0 02 019 (Common Code table C-8), respectively.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(20+10(nb-1))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central wave number of band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(21+10(nb-1))-(24+10(nb-1))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central wave number of band nb (units: m-1)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