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individual ensemble forecast, control and perturbed, at a horizontal level or in a horizontal layer, in a continuous or non-continuous interval for simulated (synthetic) satellite data</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13</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Analysis or forecast generating process identifier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15-16</w:t>
            </w:r>
          </w:p>
        </w:tc>
        <w:tc>
          <w:tcPr>
            <w:tcW w:type="dxa" w:w="3028"/>
          </w:tcPr>
          <w:p>
            <w:r/>
            <w:r>
              <w:rPr>
                <w:rFonts w:ascii="Arial" w:hAnsi="Arial"/>
                <w:b w:val="0"/>
                <w:sz w:val="16"/>
              </w:rPr>
              <w:t>2</w:t>
            </w:r>
          </w:p>
        </w:tc>
        <w:tc>
          <w:tcPr>
            <w:tcW w:type="dxa" w:w="3028"/>
          </w:tcPr>
          <w:p>
            <w:r/>
            <w:r>
              <w:rPr>
                <w:rFonts w:ascii="Arial" w:hAnsi="Arial"/>
                <w:b w:val="0"/>
                <w:sz w:val="16"/>
              </w:rPr>
              <w:t>Hours of observational data cut-off after reference time</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Minutes of observational data cut-off after reference time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19-22</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octet 18</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Number of contributing spectral bands (NB)</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24-   Repeat the following 11 octets for each contributing band (nb = 1, NB)</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(24+11(nb-1))-(25+11(nb-1))</w:t>
            </w:r>
          </w:p>
        </w:tc>
        <w:tc>
          <w:tcPr>
            <w:tcW w:type="dxa" w:w="3028"/>
          </w:tcPr>
          <w:p>
            <w:r/>
            <w:r>
              <w:rPr>
                <w:rFonts w:ascii="Arial" w:hAnsi="Arial"/>
                <w:b w:val="0"/>
                <w:sz w:val="16"/>
              </w:rPr>
            </w:r>
          </w:p>
        </w:tc>
        <w:tc>
          <w:tcPr>
            <w:tcW w:type="dxa" w:w="3028"/>
          </w:tcPr>
          <w:p>
            <w:r/>
            <w:r>
              <w:rPr>
                <w:rFonts w:ascii="Arial" w:hAnsi="Arial"/>
                <w:b w:val="0"/>
                <w:sz w:val="16"/>
              </w:rPr>
              <w:t>Satellite series of band nb (code table defined by originating/generating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(26+11(nb-1))-(27+11(nb-1))</w:t>
            </w:r>
          </w:p>
        </w:tc>
        <w:tc>
          <w:tcPr>
            <w:tcW w:type="dxa" w:w="3028"/>
          </w:tcPr>
          <w:p>
            <w:r/>
            <w:r>
              <w:rPr>
                <w:rFonts w:ascii="Arial" w:hAnsi="Arial"/>
                <w:b w:val="0"/>
                <w:sz w:val="16"/>
              </w:rPr>
            </w:r>
          </w:p>
        </w:tc>
        <w:tc>
          <w:tcPr>
            <w:tcW w:type="dxa" w:w="3028"/>
          </w:tcPr>
          <w:p>
            <w:r/>
            <w:r>
              <w:rPr>
                <w:rFonts w:ascii="Arial" w:hAnsi="Arial"/>
                <w:b w:val="0"/>
                <w:sz w:val="16"/>
              </w:rPr>
              <w:t>Satellite number of band nb (code table defined by originating/generating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(28+11(nb-1))-(29+11(nb-1))</w:t>
            </w:r>
          </w:p>
        </w:tc>
        <w:tc>
          <w:tcPr>
            <w:tcW w:type="dxa" w:w="3028"/>
          </w:tcPr>
          <w:p>
            <w:r/>
            <w:r>
              <w:rPr>
                <w:rFonts w:ascii="Arial" w:hAnsi="Arial"/>
                <w:b w:val="0"/>
                <w:sz w:val="16"/>
              </w:rPr>
            </w:r>
          </w:p>
        </w:tc>
        <w:tc>
          <w:tcPr>
            <w:tcW w:type="dxa" w:w="3028"/>
          </w:tcPr>
          <w:p>
            <w:r/>
            <w:r>
              <w:rPr>
                <w:rFonts w:ascii="Arial" w:hAnsi="Arial"/>
                <w:b w:val="0"/>
                <w:sz w:val="16"/>
              </w:rPr>
              <w:t>Instrument types of band nb (code table defined by originating/generating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(30+11(nb-1))</w:t>
            </w:r>
          </w:p>
        </w:tc>
        <w:tc>
          <w:tcPr>
            <w:tcW w:type="dxa" w:w="3028"/>
          </w:tcPr>
          <w:p>
            <w:r/>
            <w:r>
              <w:rPr>
                <w:rFonts w:ascii="Arial" w:hAnsi="Arial"/>
                <w:b w:val="0"/>
                <w:sz w:val="16"/>
              </w:rPr>
            </w:r>
          </w:p>
        </w:tc>
        <w:tc>
          <w:tcPr>
            <w:tcW w:type="dxa" w:w="3028"/>
          </w:tcPr>
          <w:p>
            <w:r/>
            <w:r>
              <w:rPr>
                <w:rFonts w:ascii="Arial" w:hAnsi="Arial"/>
                <w:b w:val="0"/>
                <w:sz w:val="16"/>
              </w:rPr>
              <w:t>Scale factor of central wave number of band nb</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(31+11(nb-1))-(34+11(nb-1))</w:t>
            </w:r>
          </w:p>
        </w:tc>
        <w:tc>
          <w:tcPr>
            <w:tcW w:type="dxa" w:w="3028"/>
          </w:tcPr>
          <w:p>
            <w:r/>
            <w:r>
              <w:rPr>
                <w:rFonts w:ascii="Arial" w:hAnsi="Arial"/>
                <w:b w:val="0"/>
                <w:sz w:val="16"/>
              </w:rPr>
            </w:r>
          </w:p>
        </w:tc>
        <w:tc>
          <w:tcPr>
            <w:tcW w:type="dxa" w:w="3028"/>
          </w:tcPr>
          <w:p>
            <w:r/>
            <w:r>
              <w:rPr>
                <w:rFonts w:ascii="Arial" w:hAnsi="Arial"/>
                <w:b w:val="0"/>
                <w:sz w:val="16"/>
              </w:rPr>
              <w:t>Scaled value of central wave number of band nb (units: m-1)</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(24+11NB)</w:t>
            </w:r>
          </w:p>
        </w:tc>
        <w:tc>
          <w:tcPr>
            <w:tcW w:type="dxa" w:w="3028"/>
          </w:tcPr>
          <w:p>
            <w:r/>
            <w:r>
              <w:rPr>
                <w:rFonts w:ascii="Arial" w:hAnsi="Arial"/>
                <w:b w:val="0"/>
                <w:sz w:val="16"/>
              </w:rPr>
            </w:r>
          </w:p>
        </w:tc>
        <w:tc>
          <w:tcPr>
            <w:tcW w:type="dxa" w:w="3028"/>
          </w:tcPr>
          <w:p>
            <w:r/>
            <w:r>
              <w:rPr>
                <w:rFonts w:ascii="Arial" w:hAnsi="Arial"/>
                <w:b w:val="0"/>
                <w:sz w:val="16"/>
              </w:rPr>
              <w:t>Type of ensemble forecast</w:t>
            </w:r>
          </w:p>
        </w:tc>
        <w:tc>
          <w:tcPr>
            <w:tcW w:type="dxa" w:w="3028"/>
          </w:tcPr>
          <w:p>
            <w:r/>
            <w:r>
              <w:rPr>
                <w:rFonts w:ascii="Arial" w:hAnsi="Arial"/>
                <w:b w:val="0"/>
                <w:sz w:val="16"/>
              </w:rPr>
              <w:t>(see Code table 4.6)</w:t>
            </w:r>
          </w:p>
        </w:tc>
        <w:tc>
          <w:tcPr>
            <w:tcW w:type="dxa" w:w="3028"/>
          </w:tcPr>
          <w:p>
            <w:r/>
            <w:r>
              <w:rPr>
                <w:rFonts w:ascii="Arial" w:hAnsi="Arial"/>
                <w:b w:val="0"/>
                <w:sz w:val="16"/>
              </w:rPr>
              <w:t>Code table 4.6</w:t>
            </w:r>
          </w:p>
        </w:tc>
      </w:tr>
      <w:tr>
        <w:tc>
          <w:tcPr>
            <w:tcW w:type="dxa" w:w="3028"/>
          </w:tcPr>
          <w:p>
            <w:r/>
            <w:r>
              <w:rPr>
                <w:rFonts w:ascii="Arial" w:hAnsi="Arial"/>
                <w:b w:val="0"/>
                <w:sz w:val="16"/>
              </w:rPr>
              <w:t>(25+11NB)</w:t>
            </w:r>
          </w:p>
        </w:tc>
        <w:tc>
          <w:tcPr>
            <w:tcW w:type="dxa" w:w="3028"/>
          </w:tcPr>
          <w:p>
            <w:r/>
            <w:r>
              <w:rPr>
                <w:rFonts w:ascii="Arial" w:hAnsi="Arial"/>
                <w:b w:val="0"/>
                <w:sz w:val="16"/>
              </w:rPr>
            </w:r>
          </w:p>
        </w:tc>
        <w:tc>
          <w:tcPr>
            <w:tcW w:type="dxa" w:w="3028"/>
          </w:tcPr>
          <w:p>
            <w:r/>
            <w:r>
              <w:rPr>
                <w:rFonts w:ascii="Arial" w:hAnsi="Arial"/>
                <w:b w:val="0"/>
                <w:sz w:val="16"/>
              </w:rPr>
              <w:t>Perturbation number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(26+11NB)</w:t>
            </w:r>
          </w:p>
        </w:tc>
        <w:tc>
          <w:tcPr>
            <w:tcW w:type="dxa" w:w="3028"/>
          </w:tcPr>
          <w:p>
            <w:r/>
            <w:r>
              <w:rPr>
                <w:rFonts w:ascii="Arial" w:hAnsi="Arial"/>
                <w:b w:val="0"/>
                <w:sz w:val="16"/>
              </w:rPr>
            </w:r>
          </w:p>
        </w:tc>
        <w:tc>
          <w:tcPr>
            <w:tcW w:type="dxa" w:w="3028"/>
          </w:tcPr>
          <w:p>
            <w:r/>
            <w:r>
              <w:rPr>
                <w:rFonts w:ascii="Arial" w:hAnsi="Arial"/>
                <w:b w:val="0"/>
                <w:sz w:val="16"/>
              </w:rPr>
              <w:t>Number of forecasts in ensemble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(27+11NB)-(28+11NB)</w:t>
            </w:r>
          </w:p>
        </w:tc>
        <w:tc>
          <w:tcPr>
            <w:tcW w:type="dxa" w:w="3028"/>
          </w:tcPr>
          <w:p>
            <w:r/>
            <w:r>
              <w:rPr>
                <w:rFonts w:ascii="Arial" w:hAnsi="Arial"/>
                <w:b w:val="0"/>
                <w:sz w:val="16"/>
              </w:rPr>
            </w:r>
          </w:p>
        </w:tc>
        <w:tc>
          <w:tcPr>
            <w:tcW w:type="dxa" w:w="3028"/>
          </w:tcPr>
          <w:p>
            <w:r/>
            <w:r>
              <w:rPr>
                <w:rFonts w:ascii="Arial" w:hAnsi="Arial"/>
                <w:b w:val="0"/>
                <w:sz w:val="16"/>
              </w:rPr>
              <w:t>Year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(29+11NB)</w:t>
            </w:r>
          </w:p>
        </w:tc>
        <w:tc>
          <w:tcPr>
            <w:tcW w:type="dxa" w:w="3028"/>
          </w:tcPr>
          <w:p>
            <w:r/>
            <w:r>
              <w:rPr>
                <w:rFonts w:ascii="Arial" w:hAnsi="Arial"/>
                <w:b w:val="0"/>
                <w:sz w:val="16"/>
              </w:rPr>
            </w:r>
          </w:p>
        </w:tc>
        <w:tc>
          <w:tcPr>
            <w:tcW w:type="dxa" w:w="3028"/>
          </w:tcPr>
          <w:p>
            <w:r/>
            <w:r>
              <w:rPr>
                <w:rFonts w:ascii="Arial" w:hAnsi="Arial"/>
                <w:b w:val="0"/>
                <w:sz w:val="16"/>
              </w:rPr>
              <w:t>Month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(30+11NB)</w:t>
            </w:r>
          </w:p>
        </w:tc>
        <w:tc>
          <w:tcPr>
            <w:tcW w:type="dxa" w:w="3028"/>
          </w:tcPr>
          <w:p>
            <w:r/>
            <w:r>
              <w:rPr>
                <w:rFonts w:ascii="Arial" w:hAnsi="Arial"/>
                <w:b w:val="0"/>
                <w:sz w:val="16"/>
              </w:rPr>
            </w:r>
          </w:p>
        </w:tc>
        <w:tc>
          <w:tcPr>
            <w:tcW w:type="dxa" w:w="3028"/>
          </w:tcPr>
          <w:p>
            <w:r/>
            <w:r>
              <w:rPr>
                <w:rFonts w:ascii="Arial" w:hAnsi="Arial"/>
                <w:b w:val="0"/>
                <w:sz w:val="16"/>
              </w:rPr>
              <w:t>Day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(31+11NB)</w:t>
            </w:r>
          </w:p>
        </w:tc>
        <w:tc>
          <w:tcPr>
            <w:tcW w:type="dxa" w:w="3028"/>
          </w:tcPr>
          <w:p>
            <w:r/>
            <w:r>
              <w:rPr>
                <w:rFonts w:ascii="Arial" w:hAnsi="Arial"/>
                <w:b w:val="0"/>
                <w:sz w:val="16"/>
              </w:rPr>
            </w:r>
          </w:p>
        </w:tc>
        <w:tc>
          <w:tcPr>
            <w:tcW w:type="dxa" w:w="3028"/>
          </w:tcPr>
          <w:p>
            <w:r/>
            <w:r>
              <w:rPr>
                <w:rFonts w:ascii="Arial" w:hAnsi="Arial"/>
                <w:b w:val="0"/>
                <w:sz w:val="16"/>
              </w:rPr>
              <w:t>Hour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(32+11NB)</w:t>
            </w:r>
          </w:p>
        </w:tc>
        <w:tc>
          <w:tcPr>
            <w:tcW w:type="dxa" w:w="3028"/>
          </w:tcPr>
          <w:p>
            <w:r/>
            <w:r>
              <w:rPr>
                <w:rFonts w:ascii="Arial" w:hAnsi="Arial"/>
                <w:b w:val="0"/>
                <w:sz w:val="16"/>
              </w:rPr>
            </w:r>
          </w:p>
        </w:tc>
        <w:tc>
          <w:tcPr>
            <w:tcW w:type="dxa" w:w="3028"/>
          </w:tcPr>
          <w:p>
            <w:r/>
            <w:r>
              <w:rPr>
                <w:rFonts w:ascii="Arial" w:hAnsi="Arial"/>
                <w:b w:val="0"/>
                <w:sz w:val="16"/>
              </w:rPr>
              <w:t>Minute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(33+11NB)</w:t>
            </w:r>
          </w:p>
        </w:tc>
        <w:tc>
          <w:tcPr>
            <w:tcW w:type="dxa" w:w="3028"/>
          </w:tcPr>
          <w:p>
            <w:r/>
            <w:r>
              <w:rPr>
                <w:rFonts w:ascii="Arial" w:hAnsi="Arial"/>
                <w:b w:val="0"/>
                <w:sz w:val="16"/>
              </w:rPr>
            </w:r>
          </w:p>
        </w:tc>
        <w:tc>
          <w:tcPr>
            <w:tcW w:type="dxa" w:w="3028"/>
          </w:tcPr>
          <w:p>
            <w:r/>
            <w:r>
              <w:rPr>
                <w:rFonts w:ascii="Arial" w:hAnsi="Arial"/>
                <w:b w:val="0"/>
                <w:sz w:val="16"/>
              </w:rPr>
              <w:t>Second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(34+11NB)</w:t>
            </w:r>
          </w:p>
        </w:tc>
        <w:tc>
          <w:tcPr>
            <w:tcW w:type="dxa" w:w="3028"/>
          </w:tcPr>
          <w:p>
            <w:r/>
            <w:r>
              <w:rPr>
                <w:rFonts w:ascii="Arial" w:hAnsi="Arial"/>
                <w:b w:val="0"/>
                <w:sz w:val="16"/>
              </w:rPr>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(35+11NB)-(38+11NB)</w:t>
            </w:r>
          </w:p>
        </w:tc>
        <w:tc>
          <w:tcPr>
            <w:tcW w:type="dxa" w:w="3028"/>
          </w:tcPr>
          <w:p>
            <w:r/>
            <w:r>
              <w:rPr>
                <w:rFonts w:ascii="Arial" w:hAnsi="Arial"/>
                <w:b w:val="0"/>
                <w:sz w:val="16"/>
              </w:rPr>
            </w:r>
          </w:p>
        </w:tc>
        <w:tc>
          <w:tcPr>
            <w:tcW w:type="dxa" w:w="3028"/>
          </w:tcPr>
          <w:p>
            <w:r/>
            <w:r>
              <w:rPr>
                <w:rFonts w:ascii="Arial" w:hAnsi="Arial"/>
                <w:b w:val="0"/>
                <w:sz w:val="16"/>
              </w:rPr>
              <w:t>Total number of data values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(39+11NB)-   Repeat the following 12 octets for each time range spec (i = 1,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(39+11NB+12(i-1))</w:t>
            </w:r>
          </w:p>
        </w:tc>
        <w:tc>
          <w:tcPr>
            <w:tcW w:type="dxa" w:w="3028"/>
          </w:tcPr>
          <w:p>
            <w:r/>
            <w:r>
              <w:rPr>
                <w:rFonts w:ascii="Arial" w:hAnsi="Arial"/>
                <w:b w:val="0"/>
                <w:sz w:val="16"/>
              </w:rPr>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4.10</w:t>
            </w:r>
          </w:p>
        </w:tc>
      </w:tr>
      <w:tr>
        <w:tc>
          <w:tcPr>
            <w:tcW w:type="dxa" w:w="3028"/>
          </w:tcPr>
          <w:p>
            <w:r/>
            <w:r>
              <w:rPr>
                <w:rFonts w:ascii="Arial" w:hAnsi="Arial"/>
                <w:b w:val="0"/>
                <w:sz w:val="16"/>
              </w:rPr>
              <w:t>(40+11NB+12(i-1))</w:t>
            </w:r>
          </w:p>
        </w:tc>
        <w:tc>
          <w:tcPr>
            <w:tcW w:type="dxa" w:w="3028"/>
          </w:tcPr>
          <w:p>
            <w:r/>
            <w:r>
              <w:rPr>
                <w:rFonts w:ascii="Arial" w:hAnsi="Arial"/>
                <w:b w:val="0"/>
                <w:sz w:val="16"/>
              </w:rPr>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(41+11NB+12(i-1))</w:t>
            </w:r>
          </w:p>
        </w:tc>
        <w:tc>
          <w:tcPr>
            <w:tcW w:type="dxa" w:w="3028"/>
          </w:tcPr>
          <w:p>
            <w:r/>
            <w:r>
              <w:rPr>
                <w:rFonts w:ascii="Arial" w:hAnsi="Arial"/>
                <w:b w:val="0"/>
                <w:sz w:val="16"/>
              </w:rPr>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(42+11NB+12(i-1))-(45+11NB+12(i-1))</w:t>
            </w:r>
          </w:p>
        </w:tc>
        <w:tc>
          <w:tcPr>
            <w:tcW w:type="dxa" w:w="3028"/>
          </w:tcPr>
          <w:p>
            <w:r/>
            <w:r>
              <w:rPr>
                <w:rFonts w:ascii="Arial" w:hAnsi="Arial"/>
                <w:b w:val="0"/>
                <w:sz w:val="16"/>
              </w:rPr>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(46+11NB+12(i-1))</w:t>
            </w:r>
          </w:p>
        </w:tc>
        <w:tc>
          <w:tcPr>
            <w:tcW w:type="dxa" w:w="3028"/>
          </w:tcPr>
          <w:p>
            <w:r/>
            <w:r>
              <w:rPr>
                <w:rFonts w:ascii="Arial" w:hAnsi="Arial"/>
                <w:b w:val="0"/>
                <w:sz w:val="16"/>
              </w:rPr>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(47+11NB+12(i-1))-(50+11NB+12(i-1))</w:t>
            </w:r>
          </w:p>
        </w:tc>
        <w:tc>
          <w:tcPr>
            <w:tcW w:type="dxa" w:w="3028"/>
          </w:tcPr>
          <w:p>
            <w:r/>
            <w:r>
              <w:rPr>
                <w:rFonts w:ascii="Arial" w:hAnsi="Arial"/>
                <w:b w:val="0"/>
                <w:sz w:val="16"/>
              </w:rPr>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 | Note 98: The reference and forecast times are successively set to their initial values plus or minus the increment, as defined by the type of time increment (one of octets 51, 62, 73, ...). For all but the innermost (last) time range, the next inner range is then processed using these reference and forecast times as the initial reference and forecast times.</w:t>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