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average, accumulation, and/or extreme values or other statistically processed values at a horizontal level or in a horizontal layer in a continuous or non-continuous time interval for atmospheric chemical constituents</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12-13</w:t>
            </w:r>
          </w:p>
        </w:tc>
        <w:tc>
          <w:tcPr>
            <w:tcW w:type="dxa" w:w="3028"/>
          </w:tcPr>
          <w:p>
            <w:r/>
            <w:r>
              <w:rPr>
                <w:rFonts w:ascii="Arial" w:hAnsi="Arial"/>
                <w:b w:val="0"/>
                <w:sz w:val="16"/>
              </w:rPr>
              <w:t>2</w:t>
            </w:r>
          </w:p>
        </w:tc>
        <w:tc>
          <w:tcPr>
            <w:tcW w:type="dxa" w:w="3028"/>
          </w:tcPr>
          <w:p>
            <w:r/>
            <w:r>
              <w:rPr>
                <w:rFonts w:ascii="Arial" w:hAnsi="Arial"/>
                <w:b w:val="0"/>
                <w:sz w:val="16"/>
              </w:rPr>
              <w:t>Atmospheric chemical constituent type</w:t>
            </w:r>
          </w:p>
        </w:tc>
        <w:tc>
          <w:tcPr>
            <w:tcW w:type="dxa" w:w="3028"/>
          </w:tcPr>
          <w:p>
            <w:r/>
            <w:r>
              <w:rPr>
                <w:rFonts w:ascii="Arial" w:hAnsi="Arial"/>
                <w:b w:val="0"/>
                <w:sz w:val="16"/>
              </w:rPr>
              <w:t>(see Code table 4.230)</w:t>
            </w:r>
          </w:p>
        </w:tc>
        <w:tc>
          <w:tcPr>
            <w:tcW w:type="dxa" w:w="3028"/>
          </w:tcPr>
          <w:p>
            <w:r/>
            <w:r>
              <w:rPr>
                <w:rFonts w:ascii="Arial" w:hAnsi="Arial"/>
                <w:b w:val="0"/>
                <w:sz w:val="16"/>
              </w:rPr>
              <w:t>Code table 4.230</w:t>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15</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16</w:t>
            </w:r>
          </w:p>
        </w:tc>
        <w:tc>
          <w:tcPr>
            <w:tcW w:type="dxa" w:w="3028"/>
          </w:tcPr>
          <w:p>
            <w:r/>
            <w:r>
              <w:rPr>
                <w:rFonts w:ascii="Arial" w:hAnsi="Arial"/>
                <w:b w:val="0"/>
                <w:sz w:val="16"/>
              </w:rPr>
              <w:t>1</w:t>
            </w:r>
          </w:p>
        </w:tc>
        <w:tc>
          <w:tcPr>
            <w:tcW w:type="dxa" w:w="3028"/>
          </w:tcPr>
          <w:p>
            <w:r/>
            <w:r>
              <w:rPr>
                <w:rFonts w:ascii="Arial" w:hAnsi="Arial"/>
                <w:b w:val="0"/>
                <w:sz w:val="16"/>
              </w:rPr>
              <w:t>Analysis or 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17-18</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19</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20</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21-24</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20</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25</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26</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27-30</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32</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33-36</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37-38</w:t>
            </w:r>
          </w:p>
        </w:tc>
        <w:tc>
          <w:tcPr>
            <w:tcW w:type="dxa" w:w="3028"/>
          </w:tcPr>
          <w:p>
            <w:r/>
            <w:r>
              <w:rPr>
                <w:rFonts w:ascii="Arial" w:hAnsi="Arial"/>
                <w:b w:val="0"/>
                <w:sz w:val="16"/>
              </w:rPr>
              <w:t>2</w:t>
            </w:r>
          </w:p>
        </w:tc>
        <w:tc>
          <w:tcPr>
            <w:tcW w:type="dxa" w:w="3028"/>
          </w:tcPr>
          <w:p>
            <w:r/>
            <w:r>
              <w:rPr>
                <w:rFonts w:ascii="Arial" w:hAnsi="Arial"/>
                <w:b w:val="0"/>
                <w:sz w:val="16"/>
              </w:rPr>
              <w:t>Year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39</w:t>
            </w:r>
          </w:p>
        </w:tc>
        <w:tc>
          <w:tcPr>
            <w:tcW w:type="dxa" w:w="3028"/>
          </w:tcPr>
          <w:p>
            <w:r/>
            <w:r>
              <w:rPr>
                <w:rFonts w:ascii="Arial" w:hAnsi="Arial"/>
                <w:b w:val="0"/>
                <w:sz w:val="16"/>
              </w:rPr>
              <w:t>1</w:t>
            </w:r>
          </w:p>
        </w:tc>
        <w:tc>
          <w:tcPr>
            <w:tcW w:type="dxa" w:w="3028"/>
          </w:tcPr>
          <w:p>
            <w:r/>
            <w:r>
              <w:rPr>
                <w:rFonts w:ascii="Arial" w:hAnsi="Arial"/>
                <w:b w:val="0"/>
                <w:sz w:val="16"/>
              </w:rPr>
              <w:t>Month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w:t>
            </w:r>
          </w:p>
        </w:tc>
        <w:tc>
          <w:tcPr>
            <w:tcW w:type="dxa" w:w="3028"/>
          </w:tcPr>
          <w:p>
            <w:r/>
            <w:r>
              <w:rPr>
                <w:rFonts w:ascii="Arial" w:hAnsi="Arial"/>
                <w:b w:val="0"/>
                <w:sz w:val="16"/>
              </w:rPr>
              <w:t>1</w:t>
            </w:r>
          </w:p>
        </w:tc>
        <w:tc>
          <w:tcPr>
            <w:tcW w:type="dxa" w:w="3028"/>
          </w:tcPr>
          <w:p>
            <w:r/>
            <w:r>
              <w:rPr>
                <w:rFonts w:ascii="Arial" w:hAnsi="Arial"/>
                <w:b w:val="0"/>
                <w:sz w:val="16"/>
              </w:rPr>
              <w:t>Day</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w:t>
            </w:r>
          </w:p>
        </w:tc>
        <w:tc>
          <w:tcPr>
            <w:tcW w:type="dxa" w:w="3028"/>
          </w:tcPr>
          <w:p>
            <w:r/>
            <w:r>
              <w:rPr>
                <w:rFonts w:ascii="Arial" w:hAnsi="Arial"/>
                <w:b w:val="0"/>
                <w:sz w:val="16"/>
              </w:rPr>
              <w:t>1</w:t>
            </w:r>
          </w:p>
        </w:tc>
        <w:tc>
          <w:tcPr>
            <w:tcW w:type="dxa" w:w="3028"/>
          </w:tcPr>
          <w:p>
            <w:r/>
            <w:r>
              <w:rPr>
                <w:rFonts w:ascii="Arial" w:hAnsi="Arial"/>
                <w:b w:val="0"/>
                <w:sz w:val="16"/>
              </w:rPr>
              <w:t>Hour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Minute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w:t>
            </w:r>
          </w:p>
        </w:tc>
        <w:tc>
          <w:tcPr>
            <w:tcW w:type="dxa" w:w="3028"/>
          </w:tcPr>
          <w:p>
            <w:r/>
            <w:r>
              <w:rPr>
                <w:rFonts w:ascii="Arial" w:hAnsi="Arial"/>
                <w:b w:val="0"/>
                <w:sz w:val="16"/>
              </w:rPr>
              <w:t>1</w:t>
            </w:r>
          </w:p>
        </w:tc>
        <w:tc>
          <w:tcPr>
            <w:tcW w:type="dxa" w:w="3028"/>
          </w:tcPr>
          <w:p>
            <w:r/>
            <w:r>
              <w:rPr>
                <w:rFonts w:ascii="Arial" w:hAnsi="Arial"/>
                <w:b w:val="0"/>
                <w:sz w:val="16"/>
              </w:rPr>
              <w:t>Second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45-48</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49-60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50</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51</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52-55</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56</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57-60</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97: The reference and forecast times are successively set to their initial values plus or minus the increment, as defined by the type of time increment (one of octets 50, 62, 74,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61-nn   These octets are included only if n &gt; 1, where nn = 48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61-72</w:t>
            </w:r>
          </w:p>
        </w:tc>
        <w:tc>
          <w:tcPr>
            <w:tcW w:type="dxa" w:w="3028"/>
          </w:tcPr>
          <w:p>
            <w:r/>
            <w:r>
              <w:rPr>
                <w:rFonts w:ascii="Arial" w:hAnsi="Arial"/>
                <w:b w:val="0"/>
                <w:sz w:val="16"/>
              </w:rPr>
              <w:t>12</w:t>
            </w:r>
          </w:p>
        </w:tc>
        <w:tc>
          <w:tcPr>
            <w:tcW w:type="dxa" w:w="3028"/>
          </w:tcPr>
          <w:p>
            <w:r/>
            <w:r>
              <w:rPr>
                <w:rFonts w:ascii="Arial" w:hAnsi="Arial"/>
                <w:b w:val="0"/>
                <w:sz w:val="16"/>
              </w:rPr>
              <w:t>As octets 49 to 60,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73-nn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49 to 60,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