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atmospheric chemical constituents</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17-18</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21-24</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20</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33-36</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40-41</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48-51</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52-63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55-58</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100: The reference and forecast times are successively set to their initial values plus or minus the increment, as defined by the type of time increment (one of octets 53, 65, 77,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64-nn   These octets are included only if n &gt; 1, where nn = 51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64-75</w:t>
            </w:r>
          </w:p>
        </w:tc>
        <w:tc>
          <w:tcPr>
            <w:tcW w:type="dxa" w:w="3028"/>
          </w:tcPr>
          <w:p>
            <w:r/>
            <w:r>
              <w:rPr>
                <w:rFonts w:ascii="Arial" w:hAnsi="Arial"/>
                <w:b w:val="0"/>
                <w:sz w:val="16"/>
              </w:rPr>
              <w:t>12</w:t>
            </w:r>
          </w:p>
        </w:tc>
        <w:tc>
          <w:tcPr>
            <w:tcW w:type="dxa" w:w="3028"/>
          </w:tcPr>
          <w:p>
            <w:r/>
            <w:r>
              <w:rPr>
                <w:rFonts w:ascii="Arial" w:hAnsi="Arial"/>
                <w:b w:val="0"/>
                <w:sz w:val="16"/>
              </w:rPr>
              <w:t>As octets 52 to 63,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52 to 63,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