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spatio-temporal changing tiles at a horizontal level or horizontal layer at a point in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Tile classification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4.242)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Total number (NT) of tile/attribute pairs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20: For more information, see Part B, GRIB Attachment IV. | Note 58: NUT is the number of used different spatial tiles, defining the cover structure of a point. As each of these tiles has one or more different tile attributes A(NAT(ITN)), (ITN=1,…,NUT), for example, (unmodified, snow-covered,…),......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used spatial tiles (NUT)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20: For more information, see Part B, GRIB Attachment IV. | Note 58: NUT is the number of used different spatial tiles, defining the cover structure of a point. As each of these tiles has one or more different tile attributes A(NAT(ITN)), (ITN=1,…,NUT), for example, (unmodified, snow-covered,…),......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Tile index (ITN = {1,…, NUT})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58: NUT is the number of used different spatial tiles, defining the cover structure of a point. As each of these tiles has one or more different tile attributes A(NAT(ITN)), (ITN=1,…,NUT), for example, (unmodified, snow-covered,…),......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used tile attributes (NAT) for tile ITN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58: NUT is the number of used different spatial tiles, defining the cover structure of a point. As each of these tiles has one or more different tile attributes A(NAT(ITN)), (ITN=1,…,NUT), for example, (unmodified, snow-covered,…),......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Attribute of tile (A = {A(1),…, A(NAT(ITN))})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58: NUT is the number of used different spatial tiles, defining the cover structure of a point. As each of these tiles has one or more different tile attributes A(NAT(ITN)), (ITN=1,…,NUT), for example, (unmodified, snow-covered,…),......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