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ensemble forecast, control and perturbed, at a horizontal level or in a horizontal layer at a point in time for spatio-temporal changing tile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Tile classification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4.242)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(NT) of tile/attribute pairs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20: For more information, see Part B, GRIB Attachment IV. | Note 58: NUT is the number of used different spatial tiles, defining the cover structure of a point. As each of these tiles has one or more different tile attributes A(NAT(ITN)), (ITN=1,…,NUT), for example, (unmodified, snow-covered,…),......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used spatial tiles (NUT)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20: For more information, see Part B, GRIB Attachment IV. | Note 58: NUT is the number of used different spatial tiles, defining the cover structure of a point. As each of these tiles has one or more different tile attributes A(NAT(ITN)), (ITN=1,…,NUT), for example, (unmodified, snow-covered,…),......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Tile index (ITN = {1,…, NUT})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58: NUT is the number of used different spatial tiles, defining the cover structure of a point. As each of these tiles has one or more different tile attributes A(NAT(ITN)), (ITN=1,…,NUT), for example, (unmodified, snow-covered,…),......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used tile attributes (NAT) for tile ITN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58: NUT is the number of used different spatial tiles, defining the cover structure of a point. As each of these tiles has one or more different tile attributes A(NAT(ITN)), (ITN=1,…,NUT), for example, (unmodified, snow-covered,…),......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Attribute of tile (see Code table 4.241)) (A = {A(1),…, A(NAT(ITN))})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58: NUT is the number of used different spatial tiles, defining the cover structure of a point. As each of these tiles has one or more different tile attributes A(NAT(ITN)), (ITN=1,…,NUT), for example, (unmodified, snow-covered,…),......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