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spatio-temporal changing tiles at a horizontal level or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Tile classification</w:t>
            </w:r>
          </w:p>
        </w:tc>
        <w:tc>
          <w:tcPr>
            <w:tcW w:type="dxa" w:w="3028"/>
          </w:tcPr>
          <w:p>
            <w:r/>
            <w:r>
              <w:rPr>
                <w:rFonts w:ascii="Arial" w:hAnsi="Arial"/>
                <w:b w:val="0"/>
                <w:sz w:val="16"/>
              </w:rPr>
              <w:t>(see Code table 4.242)</w:t>
            </w:r>
          </w:p>
        </w:tc>
        <w:tc>
          <w:tcPr>
            <w:tcW w:type="dxa" w:w="3028"/>
          </w:tcPr>
          <w:p>
            <w:r/>
            <w:r>
              <w:rPr>
                <w:rFonts w:ascii="Arial" w:hAnsi="Arial"/>
                <w:b w:val="0"/>
                <w:sz w:val="16"/>
              </w:rPr>
              <w:t>Code table 4.242</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Total number (NT) of tile/attribute pairs</w:t>
            </w:r>
          </w:p>
        </w:tc>
        <w:tc>
          <w:tcPr>
            <w:tcW w:type="dxa" w:w="3028"/>
          </w:tcPr>
          <w:p>
            <w:r/>
            <w:r>
              <w:rPr>
                <w:rFonts w:ascii="Arial" w:hAnsi="Arial"/>
                <w:b w:val="0"/>
                <w:sz w:val="16"/>
              </w:rPr>
              <w:t>Note 20: For more information, see Part B, GRIB Attachment IV. | 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Number of used spatial tiles (NUT)</w:t>
            </w:r>
          </w:p>
        </w:tc>
        <w:tc>
          <w:tcPr>
            <w:tcW w:type="dxa" w:w="3028"/>
          </w:tcPr>
          <w:p>
            <w:r/>
            <w:r>
              <w:rPr>
                <w:rFonts w:ascii="Arial" w:hAnsi="Arial"/>
                <w:b w:val="0"/>
                <w:sz w:val="16"/>
              </w:rPr>
              <w:t>Note 20: For more information, see Part B, GRIB Attachment IV. | 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Tile index (ITN = {1,…, NUT})</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Number of used tile attributes (NAT) for tile ITN</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Attribute of tile (A = {A(1),…, A(NAT(ITN))})</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t>Code table 4.241</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21-22</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24</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37-40</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41-42</w:t>
            </w:r>
          </w:p>
        </w:tc>
        <w:tc>
          <w:tcPr>
            <w:tcW w:type="dxa" w:w="3028"/>
          </w:tcPr>
          <w:p>
            <w:r/>
            <w:r>
              <w:rPr>
                <w:rFonts w:ascii="Arial" w:hAnsi="Arial"/>
                <w:b w:val="0"/>
                <w:sz w:val="16"/>
              </w:rPr>
              <w:t>2</w:t>
            </w:r>
          </w:p>
        </w:tc>
        <w:tc>
          <w:tcPr>
            <w:tcW w:type="dxa" w:w="3028"/>
          </w:tcPr>
          <w:p>
            <w:r/>
            <w:r>
              <w:rPr>
                <w:rFonts w:ascii="Arial" w:hAnsi="Arial"/>
                <w:b w:val="0"/>
                <w:sz w:val="16"/>
              </w:rPr>
              <w:t xml:space="preserve">Year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 xml:space="preserve">Month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 xml:space="preserve">Day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 xml:space="preserve">Hour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 xml:space="preserve">Minute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 xml:space="preserve">Second - </w:t>
              <w:tab/>
              <w:t>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 xml:space="preserve">53-64   </w:t>
              <w:tab/>
              <w:t>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101: The reference and forecast times are successively set to their initial values plus or minus the increment, as defined by the type of time increment (one of octets 54, 66, 78,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 xml:space="preserve">65-nn   </w:t>
              <w:tab/>
              <w:t>These octets are included only if n &gt; 1, where nn = 52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65-76</w:t>
            </w:r>
          </w:p>
        </w:tc>
        <w:tc>
          <w:tcPr>
            <w:tcW w:type="dxa" w:w="3028"/>
          </w:tcPr>
          <w:p>
            <w:r/>
            <w:r>
              <w:rPr>
                <w:rFonts w:ascii="Arial" w:hAnsi="Arial"/>
                <w:b w:val="0"/>
                <w:sz w:val="16"/>
              </w:rPr>
              <w:t>12</w:t>
            </w:r>
          </w:p>
        </w:tc>
        <w:tc>
          <w:tcPr>
            <w:tcW w:type="dxa" w:w="3028"/>
          </w:tcPr>
          <w:p>
            <w:r/>
            <w:r>
              <w:rPr>
                <w:rFonts w:ascii="Arial" w:hAnsi="Arial"/>
                <w:b w:val="0"/>
                <w:sz w:val="16"/>
              </w:rPr>
              <w:t>As octets 53 to 64,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53 to 64,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