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individual ensemble forecast, control and perturbed, at a horizontal level or in a horizontal layer in a continuous or non-continuous time interval for spatio-temporal changing tiles</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w:t>
            </w:r>
          </w:p>
        </w:tc>
        <w:tc>
          <w:tcPr>
            <w:tcW w:type="dxa" w:w="3028"/>
          </w:tcPr>
          <w:p>
            <w:r/>
            <w:r>
              <w:rPr>
                <w:rFonts w:ascii="Arial" w:hAnsi="Arial"/>
                <w:b w:val="0"/>
                <w:sz w:val="16"/>
              </w:rPr>
              <w:t>1</w:t>
            </w:r>
          </w:p>
        </w:tc>
        <w:tc>
          <w:tcPr>
            <w:tcW w:type="dxa" w:w="3028"/>
          </w:tcPr>
          <w:p>
            <w:r/>
            <w:r>
              <w:rPr>
                <w:rFonts w:ascii="Arial" w:hAnsi="Arial"/>
                <w:b w:val="0"/>
                <w:sz w:val="16"/>
              </w:rPr>
              <w:t>Tile classification</w:t>
            </w:r>
          </w:p>
        </w:tc>
        <w:tc>
          <w:tcPr>
            <w:tcW w:type="dxa" w:w="3028"/>
          </w:tcPr>
          <w:p>
            <w:r/>
            <w:r>
              <w:rPr>
                <w:rFonts w:ascii="Arial" w:hAnsi="Arial"/>
                <w:b w:val="0"/>
                <w:sz w:val="16"/>
              </w:rPr>
              <w:t>(see Code table 4.242)</w:t>
            </w:r>
          </w:p>
        </w:tc>
        <w:tc>
          <w:tcPr>
            <w:tcW w:type="dxa" w:w="3028"/>
          </w:tcPr>
          <w:p>
            <w:r/>
            <w:r>
              <w:rPr>
                <w:rFonts w:ascii="Arial" w:hAnsi="Arial"/>
                <w:b w:val="0"/>
                <w:sz w:val="16"/>
              </w:rPr>
              <w:t>Code table 4.242</w:t>
            </w:r>
          </w:p>
        </w:tc>
      </w:tr>
      <w:tr>
        <w:tc>
          <w:tcPr>
            <w:tcW w:type="dxa" w:w="3028"/>
          </w:tcPr>
          <w:p>
            <w:r/>
            <w:r>
              <w:rPr>
                <w:rFonts w:ascii="Arial" w:hAnsi="Arial"/>
                <w:b w:val="0"/>
                <w:sz w:val="16"/>
              </w:rPr>
              <w:t>13</w:t>
            </w:r>
          </w:p>
        </w:tc>
        <w:tc>
          <w:tcPr>
            <w:tcW w:type="dxa" w:w="3028"/>
          </w:tcPr>
          <w:p>
            <w:r/>
            <w:r>
              <w:rPr>
                <w:rFonts w:ascii="Arial" w:hAnsi="Arial"/>
                <w:b w:val="0"/>
                <w:sz w:val="16"/>
              </w:rPr>
              <w:t>1</w:t>
            </w:r>
          </w:p>
        </w:tc>
        <w:tc>
          <w:tcPr>
            <w:tcW w:type="dxa" w:w="3028"/>
          </w:tcPr>
          <w:p>
            <w:r/>
            <w:r>
              <w:rPr>
                <w:rFonts w:ascii="Arial" w:hAnsi="Arial"/>
                <w:b w:val="0"/>
                <w:sz w:val="16"/>
              </w:rPr>
              <w:t>Total number (NT) of tile/attribute pairs</w:t>
            </w:r>
          </w:p>
        </w:tc>
        <w:tc>
          <w:tcPr>
            <w:tcW w:type="dxa" w:w="3028"/>
          </w:tcPr>
          <w:p>
            <w:r/>
            <w:r>
              <w:rPr>
                <w:rFonts w:ascii="Arial" w:hAnsi="Arial"/>
                <w:b w:val="0"/>
                <w:sz w:val="16"/>
              </w:rPr>
              <w:t>Note 20: For more information, see Part B, GRIB Attachment IV. | Note 58: NUT is the number of used different spatial tiles, defining the cover structure of a point. As each of these tiles has one or more different tile attributes A(NAT(ITN)), (ITN=1,…,NUT), for example, (unmodified, snow-covered,…),......</w:t>
            </w:r>
          </w:p>
        </w:tc>
        <w:tc>
          <w:tcPr>
            <w:tcW w:type="dxa" w:w="3028"/>
          </w:tcPr>
          <w:p>
            <w:r/>
            <w:r>
              <w:rPr>
                <w:rFonts w:ascii="Arial" w:hAnsi="Arial"/>
                <w:b w:val="0"/>
                <w:sz w:val="16"/>
              </w:rPr>
            </w:r>
          </w:p>
        </w:tc>
      </w:tr>
      <w:tr>
        <w:tc>
          <w:tcPr>
            <w:tcW w:type="dxa" w:w="3028"/>
          </w:tcPr>
          <w:p>
            <w:r/>
            <w:r>
              <w:rPr>
                <w:rFonts w:ascii="Arial" w:hAnsi="Arial"/>
                <w:b w:val="0"/>
                <w:sz w:val="16"/>
              </w:rPr>
              <w:t>14</w:t>
            </w:r>
          </w:p>
        </w:tc>
        <w:tc>
          <w:tcPr>
            <w:tcW w:type="dxa" w:w="3028"/>
          </w:tcPr>
          <w:p>
            <w:r/>
            <w:r>
              <w:rPr>
                <w:rFonts w:ascii="Arial" w:hAnsi="Arial"/>
                <w:b w:val="0"/>
                <w:sz w:val="16"/>
              </w:rPr>
              <w:t>1</w:t>
            </w:r>
          </w:p>
        </w:tc>
        <w:tc>
          <w:tcPr>
            <w:tcW w:type="dxa" w:w="3028"/>
          </w:tcPr>
          <w:p>
            <w:r/>
            <w:r>
              <w:rPr>
                <w:rFonts w:ascii="Arial" w:hAnsi="Arial"/>
                <w:b w:val="0"/>
                <w:sz w:val="16"/>
              </w:rPr>
              <w:t>Number of used spatial tiles (NUT)</w:t>
            </w:r>
          </w:p>
        </w:tc>
        <w:tc>
          <w:tcPr>
            <w:tcW w:type="dxa" w:w="3028"/>
          </w:tcPr>
          <w:p>
            <w:r/>
            <w:r>
              <w:rPr>
                <w:rFonts w:ascii="Arial" w:hAnsi="Arial"/>
                <w:b w:val="0"/>
                <w:sz w:val="16"/>
              </w:rPr>
              <w:t>Note 20: For more information, see Part B, GRIB Attachment IV. | Note 58: NUT is the number of used different spatial tiles, defining the cover structure of a point. As each of these tiles has one or more different tile attributes A(NAT(ITN)), (ITN=1,…,NUT), for example, (unmodified, snow-covered,…),......</w:t>
            </w:r>
          </w:p>
        </w:tc>
        <w:tc>
          <w:tcPr>
            <w:tcW w:type="dxa" w:w="3028"/>
          </w:tcPr>
          <w:p>
            <w:r/>
            <w:r>
              <w:rPr>
                <w:rFonts w:ascii="Arial" w:hAnsi="Arial"/>
                <w:b w:val="0"/>
                <w:sz w:val="16"/>
              </w:rPr>
            </w:r>
          </w:p>
        </w:tc>
      </w:tr>
      <w:tr>
        <w:tc>
          <w:tcPr>
            <w:tcW w:type="dxa" w:w="3028"/>
          </w:tcPr>
          <w:p>
            <w:r/>
            <w:r>
              <w:rPr>
                <w:rFonts w:ascii="Arial" w:hAnsi="Arial"/>
                <w:b w:val="0"/>
                <w:sz w:val="16"/>
              </w:rPr>
              <w:t>15</w:t>
            </w:r>
          </w:p>
        </w:tc>
        <w:tc>
          <w:tcPr>
            <w:tcW w:type="dxa" w:w="3028"/>
          </w:tcPr>
          <w:p>
            <w:r/>
            <w:r>
              <w:rPr>
                <w:rFonts w:ascii="Arial" w:hAnsi="Arial"/>
                <w:b w:val="0"/>
                <w:sz w:val="16"/>
              </w:rPr>
              <w:t>1</w:t>
            </w:r>
          </w:p>
        </w:tc>
        <w:tc>
          <w:tcPr>
            <w:tcW w:type="dxa" w:w="3028"/>
          </w:tcPr>
          <w:p>
            <w:r/>
            <w:r>
              <w:rPr>
                <w:rFonts w:ascii="Arial" w:hAnsi="Arial"/>
                <w:b w:val="0"/>
                <w:sz w:val="16"/>
              </w:rPr>
              <w:t>Tile index (ITN = {1,…, NUT})</w:t>
            </w:r>
          </w:p>
        </w:tc>
        <w:tc>
          <w:tcPr>
            <w:tcW w:type="dxa" w:w="3028"/>
          </w:tcPr>
          <w:p>
            <w:r/>
            <w:r>
              <w:rPr>
                <w:rFonts w:ascii="Arial" w:hAnsi="Arial"/>
                <w:b w:val="0"/>
                <w:sz w:val="16"/>
              </w:rPr>
              <w:t>Note 58: NUT is the number of used different spatial tiles, defining the cover structure of a point. As each of these tiles has one or more different tile attributes A(NAT(ITN)), (ITN=1,…,NUT), for example, (unmodified, snow-covered,…),......</w:t>
            </w:r>
          </w:p>
        </w:tc>
        <w:tc>
          <w:tcPr>
            <w:tcW w:type="dxa" w:w="3028"/>
          </w:tcPr>
          <w:p>
            <w:r/>
            <w:r>
              <w:rPr>
                <w:rFonts w:ascii="Arial" w:hAnsi="Arial"/>
                <w:b w:val="0"/>
                <w:sz w:val="16"/>
              </w:rPr>
            </w:r>
          </w:p>
        </w:tc>
      </w:tr>
      <w:tr>
        <w:tc>
          <w:tcPr>
            <w:tcW w:type="dxa" w:w="3028"/>
          </w:tcPr>
          <w:p>
            <w:r/>
            <w:r>
              <w:rPr>
                <w:rFonts w:ascii="Arial" w:hAnsi="Arial"/>
                <w:b w:val="0"/>
                <w:sz w:val="16"/>
              </w:rPr>
              <w:t>16</w:t>
            </w:r>
          </w:p>
        </w:tc>
        <w:tc>
          <w:tcPr>
            <w:tcW w:type="dxa" w:w="3028"/>
          </w:tcPr>
          <w:p>
            <w:r/>
            <w:r>
              <w:rPr>
                <w:rFonts w:ascii="Arial" w:hAnsi="Arial"/>
                <w:b w:val="0"/>
                <w:sz w:val="16"/>
              </w:rPr>
              <w:t>1</w:t>
            </w:r>
          </w:p>
        </w:tc>
        <w:tc>
          <w:tcPr>
            <w:tcW w:type="dxa" w:w="3028"/>
          </w:tcPr>
          <w:p>
            <w:r/>
            <w:r>
              <w:rPr>
                <w:rFonts w:ascii="Arial" w:hAnsi="Arial"/>
                <w:b w:val="0"/>
                <w:sz w:val="16"/>
              </w:rPr>
              <w:t>Number of used tile attributes (NAT) for tile ITN</w:t>
            </w:r>
          </w:p>
        </w:tc>
        <w:tc>
          <w:tcPr>
            <w:tcW w:type="dxa" w:w="3028"/>
          </w:tcPr>
          <w:p>
            <w:r/>
            <w:r>
              <w:rPr>
                <w:rFonts w:ascii="Arial" w:hAnsi="Arial"/>
                <w:b w:val="0"/>
                <w:sz w:val="16"/>
              </w:rPr>
              <w:t>Note 58: NUT is the number of used different spatial tiles, defining the cover structure of a point. As each of these tiles has one or more different tile attributes A(NAT(ITN)), (ITN=1,…,NUT), for example, (unmodified, snow-covered,…),......</w:t>
            </w:r>
          </w:p>
        </w:tc>
        <w:tc>
          <w:tcPr>
            <w:tcW w:type="dxa" w:w="3028"/>
          </w:tcPr>
          <w:p>
            <w:r/>
            <w:r>
              <w:rPr>
                <w:rFonts w:ascii="Arial" w:hAnsi="Arial"/>
                <w:b w:val="0"/>
                <w:sz w:val="16"/>
              </w:rPr>
            </w:r>
          </w:p>
        </w:tc>
      </w:tr>
      <w:tr>
        <w:tc>
          <w:tcPr>
            <w:tcW w:type="dxa" w:w="3028"/>
          </w:tcPr>
          <w:p>
            <w:r/>
            <w:r>
              <w:rPr>
                <w:rFonts w:ascii="Arial" w:hAnsi="Arial"/>
                <w:b w:val="0"/>
                <w:sz w:val="16"/>
              </w:rPr>
              <w:t>17</w:t>
            </w:r>
          </w:p>
        </w:tc>
        <w:tc>
          <w:tcPr>
            <w:tcW w:type="dxa" w:w="3028"/>
          </w:tcPr>
          <w:p>
            <w:r/>
            <w:r>
              <w:rPr>
                <w:rFonts w:ascii="Arial" w:hAnsi="Arial"/>
                <w:b w:val="0"/>
                <w:sz w:val="16"/>
              </w:rPr>
              <w:t>1</w:t>
            </w:r>
          </w:p>
        </w:tc>
        <w:tc>
          <w:tcPr>
            <w:tcW w:type="dxa" w:w="3028"/>
          </w:tcPr>
          <w:p>
            <w:r/>
            <w:r>
              <w:rPr>
                <w:rFonts w:ascii="Arial" w:hAnsi="Arial"/>
                <w:b w:val="0"/>
                <w:sz w:val="16"/>
              </w:rPr>
              <w:t>Attribute of tile (A = {A(1),…, A(NAT(ITN))})</w:t>
            </w:r>
          </w:p>
        </w:tc>
        <w:tc>
          <w:tcPr>
            <w:tcW w:type="dxa" w:w="3028"/>
          </w:tcPr>
          <w:p>
            <w:r/>
            <w:r>
              <w:rPr>
                <w:rFonts w:ascii="Arial" w:hAnsi="Arial"/>
                <w:b w:val="0"/>
                <w:sz w:val="16"/>
              </w:rPr>
              <w:t>Note 58: NUT is the number of used different spatial tiles, defining the cover structure of a point. As each of these tiles has one or more different tile attributes A(NAT(ITN)), (ITN=1,…,NUT), for example, (unmodified, snow-covered,…),......</w:t>
            </w:r>
          </w:p>
        </w:tc>
        <w:tc>
          <w:tcPr>
            <w:tcW w:type="dxa" w:w="3028"/>
          </w:tcPr>
          <w:p>
            <w:r/>
            <w:r>
              <w:rPr>
                <w:rFonts w:ascii="Arial" w:hAnsi="Arial"/>
                <w:b w:val="0"/>
                <w:sz w:val="16"/>
              </w:rPr>
              <w:t>Code table 4.241</w:t>
            </w:r>
          </w:p>
        </w:tc>
      </w:tr>
      <w:tr>
        <w:tc>
          <w:tcPr>
            <w:tcW w:type="dxa" w:w="3028"/>
          </w:tcPr>
          <w:p>
            <w:r/>
            <w:r>
              <w:rPr>
                <w:rFonts w:ascii="Arial" w:hAnsi="Arial"/>
                <w:b w:val="0"/>
                <w:sz w:val="16"/>
              </w:rPr>
              <w:t>18</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19</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20</w:t>
            </w:r>
          </w:p>
        </w:tc>
        <w:tc>
          <w:tcPr>
            <w:tcW w:type="dxa" w:w="3028"/>
          </w:tcPr>
          <w:p>
            <w:r/>
            <w:r>
              <w:rPr>
                <w:rFonts w:ascii="Arial" w:hAnsi="Arial"/>
                <w:b w:val="0"/>
                <w:sz w:val="16"/>
              </w:rPr>
              <w:t>1</w:t>
            </w:r>
          </w:p>
        </w:tc>
        <w:tc>
          <w:tcPr>
            <w:tcW w:type="dxa" w:w="3028"/>
          </w:tcPr>
          <w:p>
            <w:r/>
            <w:r>
              <w:rPr>
                <w:rFonts w:ascii="Arial" w:hAnsi="Arial"/>
                <w:b w:val="0"/>
                <w:sz w:val="16"/>
              </w:rPr>
              <w:t>Analysis or 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21-22</w:t>
            </w:r>
          </w:p>
        </w:tc>
        <w:tc>
          <w:tcPr>
            <w:tcW w:type="dxa" w:w="3028"/>
          </w:tcPr>
          <w:p>
            <w:r/>
            <w:r>
              <w:rPr>
                <w:rFonts w:ascii="Arial" w:hAnsi="Arial"/>
                <w:b w:val="0"/>
                <w:sz w:val="16"/>
              </w:rPr>
              <w:t>2</w:t>
            </w:r>
          </w:p>
        </w:tc>
        <w:tc>
          <w:tcPr>
            <w:tcW w:type="dxa" w:w="3028"/>
          </w:tcPr>
          <w:p>
            <w:r/>
            <w:r>
              <w:rPr>
                <w:rFonts w:ascii="Arial" w:hAnsi="Arial"/>
                <w:b w:val="0"/>
                <w:sz w:val="16"/>
              </w:rPr>
              <w:t>Hours of observational data cut-off after reference time</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23</w:t>
            </w:r>
          </w:p>
        </w:tc>
        <w:tc>
          <w:tcPr>
            <w:tcW w:type="dxa" w:w="3028"/>
          </w:tcPr>
          <w:p>
            <w:r/>
            <w:r>
              <w:rPr>
                <w:rFonts w:ascii="Arial" w:hAnsi="Arial"/>
                <w:b w:val="0"/>
                <w:sz w:val="16"/>
              </w:rPr>
              <w:t>1</w:t>
            </w:r>
          </w:p>
        </w:tc>
        <w:tc>
          <w:tcPr>
            <w:tcW w:type="dxa" w:w="3028"/>
          </w:tcPr>
          <w:p>
            <w:r/>
            <w:r>
              <w:rPr>
                <w:rFonts w:ascii="Arial" w:hAnsi="Arial"/>
                <w:b w:val="0"/>
                <w:sz w:val="16"/>
              </w:rPr>
              <w:t>Minutes of observational data cut-off after reference time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24</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25-28</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octet 24</w:t>
            </w:r>
          </w:p>
        </w:tc>
        <w:tc>
          <w:tcPr>
            <w:tcW w:type="dxa" w:w="3028"/>
          </w:tcPr>
          <w:p>
            <w:r/>
            <w:r>
              <w:rPr>
                <w:rFonts w:ascii="Arial" w:hAnsi="Arial"/>
                <w:b w:val="0"/>
                <w:sz w:val="16"/>
              </w:rPr>
              <w:t>Note 111: The reference time in section 1 and the forecast time together define the beginning of the overall time interval.</w:t>
            </w:r>
          </w:p>
        </w:tc>
        <w:tc>
          <w:tcPr>
            <w:tcW w:type="dxa" w:w="3028"/>
          </w:tcPr>
          <w:p>
            <w:r/>
            <w:r>
              <w:rPr>
                <w:rFonts w:ascii="Arial" w:hAnsi="Arial"/>
                <w:b w:val="0"/>
                <w:sz w:val="16"/>
              </w:rPr>
            </w:r>
          </w:p>
        </w:tc>
      </w:tr>
      <w:tr>
        <w:tc>
          <w:tcPr>
            <w:tcW w:type="dxa" w:w="3028"/>
          </w:tcPr>
          <w:p>
            <w:r/>
            <w:r>
              <w:rPr>
                <w:rFonts w:ascii="Arial" w:hAnsi="Arial"/>
                <w:b w:val="0"/>
                <w:sz w:val="16"/>
              </w:rPr>
              <w:t>29</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30</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31-34</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35</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36</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37-40</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41</w:t>
            </w:r>
          </w:p>
        </w:tc>
        <w:tc>
          <w:tcPr>
            <w:tcW w:type="dxa" w:w="3028"/>
          </w:tcPr>
          <w:p>
            <w:r/>
            <w:r>
              <w:rPr>
                <w:rFonts w:ascii="Arial" w:hAnsi="Arial"/>
                <w:b w:val="0"/>
                <w:sz w:val="16"/>
              </w:rPr>
              <w:t>1</w:t>
            </w:r>
          </w:p>
        </w:tc>
        <w:tc>
          <w:tcPr>
            <w:tcW w:type="dxa" w:w="3028"/>
          </w:tcPr>
          <w:p>
            <w:r/>
            <w:r>
              <w:rPr>
                <w:rFonts w:ascii="Arial" w:hAnsi="Arial"/>
                <w:b w:val="0"/>
                <w:sz w:val="16"/>
              </w:rPr>
              <w:t>Type of ensemble forecast</w:t>
            </w:r>
          </w:p>
        </w:tc>
        <w:tc>
          <w:tcPr>
            <w:tcW w:type="dxa" w:w="3028"/>
          </w:tcPr>
          <w:p>
            <w:r/>
            <w:r>
              <w:rPr>
                <w:rFonts w:ascii="Arial" w:hAnsi="Arial"/>
                <w:b w:val="0"/>
                <w:sz w:val="16"/>
              </w:rPr>
              <w:t>(see Code table 4.6)</w:t>
            </w:r>
          </w:p>
        </w:tc>
        <w:tc>
          <w:tcPr>
            <w:tcW w:type="dxa" w:w="3028"/>
          </w:tcPr>
          <w:p>
            <w:r/>
            <w:r>
              <w:rPr>
                <w:rFonts w:ascii="Arial" w:hAnsi="Arial"/>
                <w:b w:val="0"/>
                <w:sz w:val="16"/>
              </w:rPr>
              <w:t>Code table 4.6</w:t>
            </w:r>
          </w:p>
        </w:tc>
      </w:tr>
      <w:tr>
        <w:tc>
          <w:tcPr>
            <w:tcW w:type="dxa" w:w="3028"/>
          </w:tcPr>
          <w:p>
            <w:r/>
            <w:r>
              <w:rPr>
                <w:rFonts w:ascii="Arial" w:hAnsi="Arial"/>
                <w:b w:val="0"/>
                <w:sz w:val="16"/>
              </w:rPr>
              <w:t>42</w:t>
            </w:r>
          </w:p>
        </w:tc>
        <w:tc>
          <w:tcPr>
            <w:tcW w:type="dxa" w:w="3028"/>
          </w:tcPr>
          <w:p>
            <w:r/>
            <w:r>
              <w:rPr>
                <w:rFonts w:ascii="Arial" w:hAnsi="Arial"/>
                <w:b w:val="0"/>
                <w:sz w:val="16"/>
              </w:rPr>
              <w:t>1</w:t>
            </w:r>
          </w:p>
        </w:tc>
        <w:tc>
          <w:tcPr>
            <w:tcW w:type="dxa" w:w="3028"/>
          </w:tcPr>
          <w:p>
            <w:r/>
            <w:r>
              <w:rPr>
                <w:rFonts w:ascii="Arial" w:hAnsi="Arial"/>
                <w:b w:val="0"/>
                <w:sz w:val="16"/>
              </w:rPr>
              <w:t>Perturbation number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43</w:t>
            </w:r>
          </w:p>
        </w:tc>
        <w:tc>
          <w:tcPr>
            <w:tcW w:type="dxa" w:w="3028"/>
          </w:tcPr>
          <w:p>
            <w:r/>
            <w:r>
              <w:rPr>
                <w:rFonts w:ascii="Arial" w:hAnsi="Arial"/>
                <w:b w:val="0"/>
                <w:sz w:val="16"/>
              </w:rPr>
              <w:t>1</w:t>
            </w:r>
          </w:p>
        </w:tc>
        <w:tc>
          <w:tcPr>
            <w:tcW w:type="dxa" w:w="3028"/>
          </w:tcPr>
          <w:p>
            <w:r/>
            <w:r>
              <w:rPr>
                <w:rFonts w:ascii="Arial" w:hAnsi="Arial"/>
                <w:b w:val="0"/>
                <w:sz w:val="16"/>
              </w:rPr>
              <w:t>Number of forecasts in ensemble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44-45</w:t>
            </w:r>
          </w:p>
        </w:tc>
        <w:tc>
          <w:tcPr>
            <w:tcW w:type="dxa" w:w="3028"/>
          </w:tcPr>
          <w:p>
            <w:r/>
            <w:r>
              <w:rPr>
                <w:rFonts w:ascii="Arial" w:hAnsi="Arial"/>
                <w:b w:val="0"/>
                <w:sz w:val="16"/>
              </w:rPr>
              <w:t>2</w:t>
            </w:r>
          </w:p>
        </w:tc>
        <w:tc>
          <w:tcPr>
            <w:tcW w:type="dxa" w:w="3028"/>
          </w:tcPr>
          <w:p>
            <w:r/>
            <w:r>
              <w:rPr>
                <w:rFonts w:ascii="Arial" w:hAnsi="Arial"/>
                <w:b w:val="0"/>
                <w:sz w:val="16"/>
              </w:rPr>
              <w:t>Year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46</w:t>
            </w:r>
          </w:p>
        </w:tc>
        <w:tc>
          <w:tcPr>
            <w:tcW w:type="dxa" w:w="3028"/>
          </w:tcPr>
          <w:p>
            <w:r/>
            <w:r>
              <w:rPr>
                <w:rFonts w:ascii="Arial" w:hAnsi="Arial"/>
                <w:b w:val="0"/>
                <w:sz w:val="16"/>
              </w:rPr>
              <w:t>1</w:t>
            </w:r>
          </w:p>
        </w:tc>
        <w:tc>
          <w:tcPr>
            <w:tcW w:type="dxa" w:w="3028"/>
          </w:tcPr>
          <w:p>
            <w:r/>
            <w:r>
              <w:rPr>
                <w:rFonts w:ascii="Arial" w:hAnsi="Arial"/>
                <w:b w:val="0"/>
                <w:sz w:val="16"/>
              </w:rPr>
              <w:t>Month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47</w:t>
            </w:r>
          </w:p>
        </w:tc>
        <w:tc>
          <w:tcPr>
            <w:tcW w:type="dxa" w:w="3028"/>
          </w:tcPr>
          <w:p>
            <w:r/>
            <w:r>
              <w:rPr>
                <w:rFonts w:ascii="Arial" w:hAnsi="Arial"/>
                <w:b w:val="0"/>
                <w:sz w:val="16"/>
              </w:rPr>
              <w:t>1</w:t>
            </w:r>
          </w:p>
        </w:tc>
        <w:tc>
          <w:tcPr>
            <w:tcW w:type="dxa" w:w="3028"/>
          </w:tcPr>
          <w:p>
            <w:r/>
            <w:r>
              <w:rPr>
                <w:rFonts w:ascii="Arial" w:hAnsi="Arial"/>
                <w:b w:val="0"/>
                <w:sz w:val="16"/>
              </w:rPr>
              <w:t>Day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48</w:t>
            </w:r>
          </w:p>
        </w:tc>
        <w:tc>
          <w:tcPr>
            <w:tcW w:type="dxa" w:w="3028"/>
          </w:tcPr>
          <w:p>
            <w:r/>
            <w:r>
              <w:rPr>
                <w:rFonts w:ascii="Arial" w:hAnsi="Arial"/>
                <w:b w:val="0"/>
                <w:sz w:val="16"/>
              </w:rPr>
              <w:t>1</w:t>
            </w:r>
          </w:p>
        </w:tc>
        <w:tc>
          <w:tcPr>
            <w:tcW w:type="dxa" w:w="3028"/>
          </w:tcPr>
          <w:p>
            <w:r/>
            <w:r>
              <w:rPr>
                <w:rFonts w:ascii="Arial" w:hAnsi="Arial"/>
                <w:b w:val="0"/>
                <w:sz w:val="16"/>
              </w:rPr>
              <w:t>Hour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49</w:t>
            </w:r>
          </w:p>
        </w:tc>
        <w:tc>
          <w:tcPr>
            <w:tcW w:type="dxa" w:w="3028"/>
          </w:tcPr>
          <w:p>
            <w:r/>
            <w:r>
              <w:rPr>
                <w:rFonts w:ascii="Arial" w:hAnsi="Arial"/>
                <w:b w:val="0"/>
                <w:sz w:val="16"/>
              </w:rPr>
              <w:t>1</w:t>
            </w:r>
          </w:p>
        </w:tc>
        <w:tc>
          <w:tcPr>
            <w:tcW w:type="dxa" w:w="3028"/>
          </w:tcPr>
          <w:p>
            <w:r/>
            <w:r>
              <w:rPr>
                <w:rFonts w:ascii="Arial" w:hAnsi="Arial"/>
                <w:b w:val="0"/>
                <w:sz w:val="16"/>
              </w:rPr>
              <w:t>Minute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50</w:t>
            </w:r>
          </w:p>
        </w:tc>
        <w:tc>
          <w:tcPr>
            <w:tcW w:type="dxa" w:w="3028"/>
          </w:tcPr>
          <w:p>
            <w:r/>
            <w:r>
              <w:rPr>
                <w:rFonts w:ascii="Arial" w:hAnsi="Arial"/>
                <w:b w:val="0"/>
                <w:sz w:val="16"/>
              </w:rPr>
              <w:t>1</w:t>
            </w:r>
          </w:p>
        </w:tc>
        <w:tc>
          <w:tcPr>
            <w:tcW w:type="dxa" w:w="3028"/>
          </w:tcPr>
          <w:p>
            <w:r/>
            <w:r>
              <w:rPr>
                <w:rFonts w:ascii="Arial" w:hAnsi="Arial"/>
                <w:b w:val="0"/>
                <w:sz w:val="16"/>
              </w:rPr>
              <w:t>Second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51</w:t>
            </w:r>
          </w:p>
        </w:tc>
        <w:tc>
          <w:tcPr>
            <w:tcW w:type="dxa" w:w="3028"/>
          </w:tcPr>
          <w:p>
            <w:r/>
            <w:r>
              <w:rPr>
                <w:rFonts w:ascii="Arial" w:hAnsi="Arial"/>
                <w:b w:val="0"/>
                <w:sz w:val="16"/>
              </w:rPr>
              <w:t>1</w:t>
            </w:r>
          </w:p>
        </w:tc>
        <w:tc>
          <w:tcPr>
            <w:tcW w:type="dxa" w:w="3028"/>
          </w:tcPr>
          <w:p>
            <w:r/>
            <w:r>
              <w:rPr>
                <w:rFonts w:ascii="Arial" w:hAnsi="Arial"/>
                <w:b w:val="0"/>
                <w:sz w:val="16"/>
              </w:rPr>
              <w:t>n - number of time range specifications describing the time intervals used to calculate the statistically processed field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52-55</w:t>
            </w:r>
          </w:p>
        </w:tc>
        <w:tc>
          <w:tcPr>
            <w:tcW w:type="dxa" w:w="3028"/>
          </w:tcPr>
          <w:p>
            <w:r/>
            <w:r>
              <w:rPr>
                <w:rFonts w:ascii="Arial" w:hAnsi="Arial"/>
                <w:b w:val="0"/>
                <w:sz w:val="16"/>
              </w:rPr>
              <w:t>4</w:t>
            </w:r>
          </w:p>
        </w:tc>
        <w:tc>
          <w:tcPr>
            <w:tcW w:type="dxa" w:w="3028"/>
          </w:tcPr>
          <w:p>
            <w:r/>
            <w:r>
              <w:rPr>
                <w:rFonts w:ascii="Arial" w:hAnsi="Arial"/>
                <w:b w:val="0"/>
                <w:sz w:val="16"/>
              </w:rPr>
              <w:t>Total number of data values missing in statistical process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 xml:space="preserve">56-67   </w:t>
              <w:tab/>
              <w:t>Specification of the outermost (or only) time range over which statistical processing is done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56</w:t>
            </w:r>
          </w:p>
        </w:tc>
        <w:tc>
          <w:tcPr>
            <w:tcW w:type="dxa" w:w="3028"/>
          </w:tcPr>
          <w:p>
            <w:r/>
            <w:r>
              <w:rPr>
                <w:rFonts w:ascii="Arial" w:hAnsi="Arial"/>
                <w:b w:val="0"/>
                <w:sz w:val="16"/>
              </w:rPr>
              <w:t>1</w:t>
            </w:r>
          </w:p>
        </w:tc>
        <w:tc>
          <w:tcPr>
            <w:tcW w:type="dxa" w:w="3028"/>
          </w:tcPr>
          <w:p>
            <w:r/>
            <w:r>
              <w:rPr>
                <w:rFonts w:ascii="Arial" w:hAnsi="Arial"/>
                <w:b w:val="0"/>
                <w:sz w:val="16"/>
              </w:rPr>
              <w:t>Statistical process used to calculate the processed field from the field at each time increment during the time range</w:t>
            </w:r>
          </w:p>
        </w:tc>
        <w:tc>
          <w:tcPr>
            <w:tcW w:type="dxa" w:w="3028"/>
          </w:tcPr>
          <w:p>
            <w:r/>
            <w:r>
              <w:rPr>
                <w:rFonts w:ascii="Arial" w:hAnsi="Arial"/>
                <w:b w:val="0"/>
                <w:sz w:val="16"/>
              </w:rPr>
              <w:t>(see Code table 4.10)</w:t>
            </w:r>
          </w:p>
        </w:tc>
        <w:tc>
          <w:tcPr>
            <w:tcW w:type="dxa" w:w="3028"/>
          </w:tcPr>
          <w:p>
            <w:r/>
            <w:r>
              <w:rPr>
                <w:rFonts w:ascii="Arial" w:hAnsi="Arial"/>
                <w:b w:val="0"/>
                <w:sz w:val="16"/>
              </w:rPr>
              <w:t>Code table 4.10</w:t>
            </w:r>
          </w:p>
        </w:tc>
      </w:tr>
      <w:tr>
        <w:tc>
          <w:tcPr>
            <w:tcW w:type="dxa" w:w="3028"/>
          </w:tcPr>
          <w:p>
            <w:r/>
            <w:r>
              <w:rPr>
                <w:rFonts w:ascii="Arial" w:hAnsi="Arial"/>
                <w:b w:val="0"/>
                <w:sz w:val="16"/>
              </w:rPr>
              <w:t>57</w:t>
            </w:r>
          </w:p>
        </w:tc>
        <w:tc>
          <w:tcPr>
            <w:tcW w:type="dxa" w:w="3028"/>
          </w:tcPr>
          <w:p>
            <w:r/>
            <w:r>
              <w:rPr>
                <w:rFonts w:ascii="Arial" w:hAnsi="Arial"/>
                <w:b w:val="0"/>
                <w:sz w:val="16"/>
              </w:rPr>
              <w:t>1</w:t>
            </w:r>
          </w:p>
        </w:tc>
        <w:tc>
          <w:tcPr>
            <w:tcW w:type="dxa" w:w="3028"/>
          </w:tcPr>
          <w:p>
            <w:r/>
            <w:r>
              <w:rPr>
                <w:rFonts w:ascii="Arial" w:hAnsi="Arial"/>
                <w:b w:val="0"/>
                <w:sz w:val="16"/>
              </w:rPr>
              <w:t>Type of time increment between successive fields used in the statistical processing</w:t>
            </w:r>
          </w:p>
        </w:tc>
        <w:tc>
          <w:tcPr>
            <w:tcW w:type="dxa" w:w="3028"/>
          </w:tcPr>
          <w:p>
            <w:r/>
            <w:r>
              <w:rPr>
                <w:rFonts w:ascii="Arial" w:hAnsi="Arial"/>
                <w:b w:val="0"/>
                <w:sz w:val="16"/>
              </w:rPr>
              <w:t>(see Code table 4.11)</w:t>
            </w:r>
          </w:p>
        </w:tc>
        <w:tc>
          <w:tcPr>
            <w:tcW w:type="dxa" w:w="3028"/>
          </w:tcPr>
          <w:p>
            <w:r/>
            <w:r>
              <w:rPr>
                <w:rFonts w:ascii="Arial" w:hAnsi="Arial"/>
                <w:b w:val="0"/>
                <w:sz w:val="16"/>
              </w:rPr>
              <w:t>Code table 4.11</w:t>
            </w:r>
          </w:p>
        </w:tc>
      </w:tr>
      <w:tr>
        <w:tc>
          <w:tcPr>
            <w:tcW w:type="dxa" w:w="3028"/>
          </w:tcPr>
          <w:p>
            <w:r/>
            <w:r>
              <w:rPr>
                <w:rFonts w:ascii="Arial" w:hAnsi="Arial"/>
                <w:b w:val="0"/>
                <w:sz w:val="16"/>
              </w:rPr>
              <w:t>58</w:t>
            </w:r>
          </w:p>
        </w:tc>
        <w:tc>
          <w:tcPr>
            <w:tcW w:type="dxa" w:w="3028"/>
          </w:tcPr>
          <w:p>
            <w:r/>
            <w:r>
              <w:rPr>
                <w:rFonts w:ascii="Arial" w:hAnsi="Arial"/>
                <w:b w:val="0"/>
                <w:sz w:val="16"/>
              </w:rPr>
              <w:t>1</w:t>
            </w:r>
          </w:p>
        </w:tc>
        <w:tc>
          <w:tcPr>
            <w:tcW w:type="dxa" w:w="3028"/>
          </w:tcPr>
          <w:p>
            <w:r/>
            <w:r>
              <w:rPr>
                <w:rFonts w:ascii="Arial" w:hAnsi="Arial"/>
                <w:b w:val="0"/>
                <w:sz w:val="16"/>
              </w:rPr>
              <w:t>Indicator of unit of time for time range over which statistical processing is done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59-62</w:t>
            </w:r>
          </w:p>
        </w:tc>
        <w:tc>
          <w:tcPr>
            <w:tcW w:type="dxa" w:w="3028"/>
          </w:tcPr>
          <w:p>
            <w:r/>
            <w:r>
              <w:rPr>
                <w:rFonts w:ascii="Arial" w:hAnsi="Arial"/>
                <w:b w:val="0"/>
                <w:sz w:val="16"/>
              </w:rPr>
              <w:t>4</w:t>
            </w:r>
          </w:p>
        </w:tc>
        <w:tc>
          <w:tcPr>
            <w:tcW w:type="dxa" w:w="3028"/>
          </w:tcPr>
          <w:p>
            <w:r/>
            <w:r>
              <w:rPr>
                <w:rFonts w:ascii="Arial" w:hAnsi="Arial"/>
                <w:b w:val="0"/>
                <w:sz w:val="16"/>
              </w:rPr>
              <w:t>Length of the time range over which statistical processing is done, in units defined by the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63</w:t>
            </w:r>
          </w:p>
        </w:tc>
        <w:tc>
          <w:tcPr>
            <w:tcW w:type="dxa" w:w="3028"/>
          </w:tcPr>
          <w:p>
            <w:r/>
            <w:r>
              <w:rPr>
                <w:rFonts w:ascii="Arial" w:hAnsi="Arial"/>
                <w:b w:val="0"/>
                <w:sz w:val="16"/>
              </w:rPr>
              <w:t>1</w:t>
            </w:r>
          </w:p>
        </w:tc>
        <w:tc>
          <w:tcPr>
            <w:tcW w:type="dxa" w:w="3028"/>
          </w:tcPr>
          <w:p>
            <w:r/>
            <w:r>
              <w:rPr>
                <w:rFonts w:ascii="Arial" w:hAnsi="Arial"/>
                <w:b w:val="0"/>
                <w:sz w:val="16"/>
              </w:rPr>
              <w:t>Indicator of unit of time for the increment between the successive fields used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64-67</w:t>
            </w:r>
          </w:p>
        </w:tc>
        <w:tc>
          <w:tcPr>
            <w:tcW w:type="dxa" w:w="3028"/>
          </w:tcPr>
          <w:p>
            <w:r/>
            <w:r>
              <w:rPr>
                <w:rFonts w:ascii="Arial" w:hAnsi="Arial"/>
                <w:b w:val="0"/>
                <w:sz w:val="16"/>
              </w:rPr>
              <w:t>4</w:t>
            </w:r>
          </w:p>
        </w:tc>
        <w:tc>
          <w:tcPr>
            <w:tcW w:type="dxa" w:w="3028"/>
          </w:tcPr>
          <w:p>
            <w:r/>
            <w:r>
              <w:rPr>
                <w:rFonts w:ascii="Arial" w:hAnsi="Arial"/>
                <w:b w:val="0"/>
                <w:sz w:val="16"/>
              </w:rPr>
              <w:t>Time increment between successive fields, in units defined by the previous octet</w:t>
            </w:r>
          </w:p>
        </w:tc>
        <w:tc>
          <w:tcPr>
            <w:tcW w:type="dxa" w:w="3028"/>
          </w:tcPr>
          <w:p>
            <w:r/>
            <w:r>
              <w:rPr>
                <w:rFonts w:ascii="Arial" w:hAnsi="Arial"/>
                <w:b w:val="0"/>
                <w:sz w:val="16"/>
              </w:rPr>
              <w:t>Note 7: An increment of zero means that the statistical processing is the result of a continuous (or near-continuous) process, not the processing of a number of discrete samples. Examples of such continuous processes are the temperatures measured by analogue maximum and minimum thermometers or thermographs, and the rainfall measured by a rain gauge. | Note 103: The reference and forecast times are successively set to their initial values plus or minus the increment, as defined by the type of time increment (one of octets 57, 69, 81, ...). For all but the innermost (last) time range, the next inner range is then processed using these reference and forecast times as the initial reference and forecast times.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 xml:space="preserve">68-nn   </w:t>
              <w:tab/>
              <w:t>These octets are included only if n &gt; 1, where nn = 55 + 12 x 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68-79</w:t>
            </w:r>
          </w:p>
        </w:tc>
        <w:tc>
          <w:tcPr>
            <w:tcW w:type="dxa" w:w="3028"/>
          </w:tcPr>
          <w:p>
            <w:r/>
            <w:r>
              <w:rPr>
                <w:rFonts w:ascii="Arial" w:hAnsi="Arial"/>
                <w:b w:val="0"/>
                <w:sz w:val="16"/>
              </w:rPr>
              <w:t>12</w:t>
            </w:r>
          </w:p>
        </w:tc>
        <w:tc>
          <w:tcPr>
            <w:tcW w:type="dxa" w:w="3028"/>
          </w:tcPr>
          <w:p>
            <w:r/>
            <w:r>
              <w:rPr>
                <w:rFonts w:ascii="Arial" w:hAnsi="Arial"/>
                <w:b w:val="0"/>
                <w:sz w:val="16"/>
              </w:rPr>
              <w:t>As octets 56 to 67, next innermost step of processing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80-nn</w:t>
            </w:r>
          </w:p>
        </w:tc>
        <w:tc>
          <w:tcPr>
            <w:tcW w:type="dxa" w:w="3028"/>
          </w:tcPr>
          <w:p>
            <w:r/>
            <w:r>
              <w:rPr>
                <w:rFonts w:ascii="Arial" w:hAnsi="Arial"/>
                <w:b w:val="0"/>
                <w:sz w:val="16"/>
              </w:rPr>
            </w:r>
          </w:p>
        </w:tc>
        <w:tc>
          <w:tcPr>
            <w:tcW w:type="dxa" w:w="3028"/>
          </w:tcPr>
          <w:p>
            <w:r/>
            <w:r>
              <w:rPr>
                <w:rFonts w:ascii="Arial" w:hAnsi="Arial"/>
                <w:b w:val="0"/>
                <w:sz w:val="16"/>
              </w:rPr>
              <w:t xml:space="preserve">80-nn   </w:t>
              <w:tab/>
              <w:t>Additional time range specifications, included in accordance with the value of n. Contents as octets 56 to 67, repeated as necessary</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