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post-processing individual ensemble forecast, control and perturbed,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82: The input process identifier shall have the value of the "analysis or forecast process identifier"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originating centre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81: The input originating centre shall have the value of the "originating centre"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post-processing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126: This identifies which post-processing technique was used. This is defined by the originating centre.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