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post-processing individual ensemble forecast, control and perturbed,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Input process identifier</w:t>
            </w:r>
          </w:p>
        </w:tc>
        <w:tc>
          <w:tcPr>
            <w:tcW w:type="dxa" w:w="3028"/>
          </w:tcPr>
          <w:p>
            <w:r/>
            <w:r>
              <w:rPr>
                <w:rFonts w:ascii="Arial" w:hAnsi="Arial"/>
                <w:b w:val="0"/>
                <w:sz w:val="16"/>
              </w:rPr>
              <w:t>Note 82: The input process identifier shall have the value of the "analysis or forecast process identifier" of the original GRIB message used as input of the post-processing.</w:t>
            </w:r>
          </w:p>
        </w:tc>
        <w:tc>
          <w:tcPr>
            <w:tcW w:type="dxa" w:w="3028"/>
          </w:tcPr>
          <w:p>
            <w:r/>
            <w:r>
              <w:rPr>
                <w:rFonts w:ascii="Arial" w:hAnsi="Arial"/>
                <w:b w:val="0"/>
                <w:sz w:val="16"/>
              </w:rPr>
            </w:r>
          </w:p>
        </w:tc>
      </w:tr>
      <w:tr>
        <w:tc>
          <w:tcPr>
            <w:tcW w:type="dxa" w:w="3028"/>
          </w:tcPr>
          <w:p>
            <w:r/>
            <w:r>
              <w:rPr>
                <w:rFonts w:ascii="Arial" w:hAnsi="Arial"/>
                <w:b w:val="0"/>
                <w:sz w:val="16"/>
              </w:rPr>
              <w:t>14-15</w:t>
            </w:r>
          </w:p>
        </w:tc>
        <w:tc>
          <w:tcPr>
            <w:tcW w:type="dxa" w:w="3028"/>
          </w:tcPr>
          <w:p>
            <w:r/>
            <w:r>
              <w:rPr>
                <w:rFonts w:ascii="Arial" w:hAnsi="Arial"/>
                <w:b w:val="0"/>
                <w:sz w:val="16"/>
              </w:rPr>
              <w:t>2</w:t>
            </w:r>
          </w:p>
        </w:tc>
        <w:tc>
          <w:tcPr>
            <w:tcW w:type="dxa" w:w="3028"/>
          </w:tcPr>
          <w:p>
            <w:r/>
            <w:r>
              <w:rPr>
                <w:rFonts w:ascii="Arial" w:hAnsi="Arial"/>
                <w:b w:val="0"/>
                <w:sz w:val="16"/>
              </w:rPr>
              <w:t>Input originating centre</w:t>
            </w:r>
          </w:p>
        </w:tc>
        <w:tc>
          <w:tcPr>
            <w:tcW w:type="dxa" w:w="3028"/>
          </w:tcPr>
          <w:p>
            <w:r/>
            <w:r>
              <w:rPr>
                <w:rFonts w:ascii="Arial" w:hAnsi="Arial"/>
                <w:b w:val="0"/>
                <w:sz w:val="16"/>
              </w:rPr>
              <w:t>Note 81: The input originating centre shall have the value of the "originating centre" of the original GRIB message used as input of the post-processing.</w:t>
            </w:r>
          </w:p>
        </w:tc>
        <w:tc>
          <w:tcPr>
            <w:tcW w:type="dxa" w:w="3028"/>
          </w:tcPr>
          <w:p>
            <w:r/>
            <w:r>
              <w:rPr>
                <w:rFonts w:ascii="Arial" w:hAnsi="Arial"/>
                <w:b w:val="0"/>
                <w:sz w:val="16"/>
              </w:rPr>
              <w:t>Code table CCT-11</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Type of post-processing</w:t>
            </w:r>
          </w:p>
        </w:tc>
        <w:tc>
          <w:tcPr>
            <w:tcW w:type="dxa" w:w="3028"/>
          </w:tcPr>
          <w:p>
            <w:r/>
            <w:r>
              <w:rPr>
                <w:rFonts w:ascii="Arial" w:hAnsi="Arial"/>
                <w:b w:val="0"/>
                <w:sz w:val="16"/>
              </w:rPr>
              <w:t>Note 126: This identifies which post-processing technique was used. This is defined by the originating centre.</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19</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20-21</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22</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24-27</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23</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28</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30-33</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43-44</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51-54</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55-66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58-61</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62</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63-66</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102: The reference and forecast times are successively set to their initial values plus or minus the increment, as defined by the type of time increment (one of octets 56, 68, 80,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67-nn   These octets are included only if n &gt; 1, where nn = 54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67-78</w:t>
            </w:r>
          </w:p>
        </w:tc>
        <w:tc>
          <w:tcPr>
            <w:tcW w:type="dxa" w:w="3028"/>
          </w:tcPr>
          <w:p>
            <w:r/>
            <w:r>
              <w:rPr>
                <w:rFonts w:ascii="Arial" w:hAnsi="Arial"/>
                <w:b w:val="0"/>
                <w:sz w:val="16"/>
              </w:rPr>
              <w:t>12</w:t>
            </w:r>
          </w:p>
        </w:tc>
        <w:tc>
          <w:tcPr>
            <w:tcW w:type="dxa" w:w="3028"/>
          </w:tcPr>
          <w:p>
            <w:r/>
            <w:r>
              <w:rPr>
                <w:rFonts w:ascii="Arial" w:hAnsi="Arial"/>
                <w:b w:val="0"/>
                <w:sz w:val="16"/>
              </w:rPr>
              <w:t>As octets 55 to 66,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79-nn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55 to 66,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