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 for atmospheric chemical constituents with source or sink</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Atmospheric chemical constituent type</w:t>
            </w:r>
          </w:p>
        </w:tc>
        <w:tc>
          <w:tcPr>
            <w:tcW w:type="dxa" w:w="3028"/>
          </w:tcPr>
          <w:p>
            <w:r/>
            <w:r>
              <w:rPr>
                <w:rFonts w:ascii="Arial" w:hAnsi="Arial"/>
                <w:b w:val="0"/>
                <w:sz w:val="16"/>
              </w:rPr>
              <w:t>(see Code table 4.230)</w:t>
            </w:r>
          </w:p>
        </w:tc>
        <w:tc>
          <w:tcPr>
            <w:tcW w:type="dxa" w:w="3028"/>
          </w:tcPr>
          <w:p>
            <w:r/>
            <w:r>
              <w:rPr>
                <w:rFonts w:ascii="Arial" w:hAnsi="Arial"/>
                <w:b w:val="0"/>
                <w:sz w:val="16"/>
              </w:rPr>
              <w:t>Code table 4.230</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Source or sink</w:t>
            </w:r>
          </w:p>
        </w:tc>
        <w:tc>
          <w:tcPr>
            <w:tcW w:type="dxa" w:w="3028"/>
          </w:tcPr>
          <w:p>
            <w:r/>
            <w:r>
              <w:rPr>
                <w:rFonts w:ascii="Arial" w:hAnsi="Arial"/>
                <w:b w:val="0"/>
                <w:sz w:val="16"/>
              </w:rPr>
              <w:t>(see Code table 4.238)</w:t>
            </w:r>
          </w:p>
        </w:tc>
        <w:tc>
          <w:tcPr>
            <w:tcW w:type="dxa" w:w="3028"/>
          </w:tcPr>
          <w:p>
            <w:r/>
            <w:r>
              <w:rPr>
                <w:rFonts w:ascii="Arial" w:hAnsi="Arial"/>
                <w:b w:val="0"/>
                <w:sz w:val="16"/>
              </w:rPr>
              <w:t>Code table 4.238</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18-19</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21</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27</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28-31</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32</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33</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34-37</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41-42</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49-52</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53-64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 xml:space="preserve">(see </w:t>
              <w:tab/>
              <w:tab/>
              <w:t>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101: The reference and forecast times are successively set to their initial values plus or minus the increment, as defined by the type of time increment (one of octets 54, 66, 78,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65-nn   These octets are included only if n &gt; 1, where nn = 52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65-76</w:t>
            </w:r>
          </w:p>
        </w:tc>
        <w:tc>
          <w:tcPr>
            <w:tcW w:type="dxa" w:w="3028"/>
          </w:tcPr>
          <w:p>
            <w:r/>
            <w:r>
              <w:rPr>
                <w:rFonts w:ascii="Arial" w:hAnsi="Arial"/>
                <w:b w:val="0"/>
                <w:sz w:val="16"/>
              </w:rPr>
              <w:t>12</w:t>
            </w:r>
          </w:p>
        </w:tc>
        <w:tc>
          <w:tcPr>
            <w:tcW w:type="dxa" w:w="3028"/>
          </w:tcPr>
          <w:p>
            <w:r/>
            <w:r>
              <w:rPr>
                <w:rFonts w:ascii="Arial" w:hAnsi="Arial"/>
                <w:b w:val="0"/>
                <w:sz w:val="16"/>
              </w:rPr>
              <w:t>As octets 53 to 64,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53 to 64,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