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average, accumulation and/or extreme values or other statistically processed values at a horizontal level or in a horizontal layer in a continuous or non-continuous time interval</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13</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Analysis or 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15-16</w:t>
            </w:r>
          </w:p>
        </w:tc>
        <w:tc>
          <w:tcPr>
            <w:tcW w:type="dxa" w:w="3028"/>
          </w:tcPr>
          <w:p>
            <w:r/>
            <w:r>
              <w:rPr>
                <w:rFonts w:ascii="Arial" w:hAnsi="Arial"/>
                <w:b w:val="0"/>
                <w:sz w:val="16"/>
              </w:rPr>
              <w:t>2</w:t>
            </w:r>
          </w:p>
        </w:tc>
        <w:tc>
          <w:tcPr>
            <w:tcW w:type="dxa" w:w="3028"/>
          </w:tcPr>
          <w:p>
            <w:r/>
            <w:r>
              <w:rPr>
                <w:rFonts w:ascii="Arial" w:hAnsi="Arial"/>
                <w:b w:val="0"/>
                <w:sz w:val="16"/>
              </w:rPr>
              <w:t>Hours after reference time of data cut-off</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Minutes after reference time of data cut-off</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19-22</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octet 18</w:t>
            </w:r>
          </w:p>
        </w:tc>
        <w:tc>
          <w:tcPr>
            <w:tcW w:type="dxa" w:w="3028"/>
          </w:tcPr>
          <w:p>
            <w:r/>
            <w:r>
              <w:rPr>
                <w:rFonts w:ascii="Arial" w:hAnsi="Arial"/>
                <w:b w:val="0"/>
                <w:sz w:val="16"/>
              </w:rPr>
              <w:t>Note 111: The reference time in section 1 and the forecast time together define the beginning of the overall time interval.</w:t>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24</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25-28</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29</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30</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31-34</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35-36</w:t>
            </w:r>
          </w:p>
        </w:tc>
        <w:tc>
          <w:tcPr>
            <w:tcW w:type="dxa" w:w="3028"/>
          </w:tcPr>
          <w:p>
            <w:r/>
            <w:r>
              <w:rPr>
                <w:rFonts w:ascii="Arial" w:hAnsi="Arial"/>
                <w:b w:val="0"/>
                <w:sz w:val="16"/>
              </w:rPr>
              <w:t>2</w:t>
            </w:r>
          </w:p>
        </w:tc>
        <w:tc>
          <w:tcPr>
            <w:tcW w:type="dxa" w:w="3028"/>
          </w:tcPr>
          <w:p>
            <w:r/>
            <w:r>
              <w:rPr>
                <w:rFonts w:ascii="Arial" w:hAnsi="Arial"/>
                <w:b w:val="0"/>
                <w:sz w:val="16"/>
              </w:rPr>
              <w:t>Year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37</w:t>
            </w:r>
          </w:p>
        </w:tc>
        <w:tc>
          <w:tcPr>
            <w:tcW w:type="dxa" w:w="3028"/>
          </w:tcPr>
          <w:p>
            <w:r/>
            <w:r>
              <w:rPr>
                <w:rFonts w:ascii="Arial" w:hAnsi="Arial"/>
                <w:b w:val="0"/>
                <w:sz w:val="16"/>
              </w:rPr>
              <w:t>1</w:t>
            </w:r>
          </w:p>
        </w:tc>
        <w:tc>
          <w:tcPr>
            <w:tcW w:type="dxa" w:w="3028"/>
          </w:tcPr>
          <w:p>
            <w:r/>
            <w:r>
              <w:rPr>
                <w:rFonts w:ascii="Arial" w:hAnsi="Arial"/>
                <w:b w:val="0"/>
                <w:sz w:val="16"/>
              </w:rPr>
              <w:t>Month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38</w:t>
            </w:r>
          </w:p>
        </w:tc>
        <w:tc>
          <w:tcPr>
            <w:tcW w:type="dxa" w:w="3028"/>
          </w:tcPr>
          <w:p>
            <w:r/>
            <w:r>
              <w:rPr>
                <w:rFonts w:ascii="Arial" w:hAnsi="Arial"/>
                <w:b w:val="0"/>
                <w:sz w:val="16"/>
              </w:rPr>
              <w:t>1</w:t>
            </w:r>
          </w:p>
        </w:tc>
        <w:tc>
          <w:tcPr>
            <w:tcW w:type="dxa" w:w="3028"/>
          </w:tcPr>
          <w:p>
            <w:r/>
            <w:r>
              <w:rPr>
                <w:rFonts w:ascii="Arial" w:hAnsi="Arial"/>
                <w:b w:val="0"/>
                <w:sz w:val="16"/>
              </w:rPr>
              <w:t>Day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39</w:t>
            </w:r>
          </w:p>
        </w:tc>
        <w:tc>
          <w:tcPr>
            <w:tcW w:type="dxa" w:w="3028"/>
          </w:tcPr>
          <w:p>
            <w:r/>
            <w:r>
              <w:rPr>
                <w:rFonts w:ascii="Arial" w:hAnsi="Arial"/>
                <w:b w:val="0"/>
                <w:sz w:val="16"/>
              </w:rPr>
              <w:t>1</w:t>
            </w:r>
          </w:p>
        </w:tc>
        <w:tc>
          <w:tcPr>
            <w:tcW w:type="dxa" w:w="3028"/>
          </w:tcPr>
          <w:p>
            <w:r/>
            <w:r>
              <w:rPr>
                <w:rFonts w:ascii="Arial" w:hAnsi="Arial"/>
                <w:b w:val="0"/>
                <w:sz w:val="16"/>
              </w:rPr>
              <w:t>Hour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40</w:t>
            </w:r>
          </w:p>
        </w:tc>
        <w:tc>
          <w:tcPr>
            <w:tcW w:type="dxa" w:w="3028"/>
          </w:tcPr>
          <w:p>
            <w:r/>
            <w:r>
              <w:rPr>
                <w:rFonts w:ascii="Arial" w:hAnsi="Arial"/>
                <w:b w:val="0"/>
                <w:sz w:val="16"/>
              </w:rPr>
              <w:t>1</w:t>
            </w:r>
          </w:p>
        </w:tc>
        <w:tc>
          <w:tcPr>
            <w:tcW w:type="dxa" w:w="3028"/>
          </w:tcPr>
          <w:p>
            <w:r/>
            <w:r>
              <w:rPr>
                <w:rFonts w:ascii="Arial" w:hAnsi="Arial"/>
                <w:b w:val="0"/>
                <w:sz w:val="16"/>
              </w:rPr>
              <w:t>Minute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41</w:t>
            </w:r>
          </w:p>
        </w:tc>
        <w:tc>
          <w:tcPr>
            <w:tcW w:type="dxa" w:w="3028"/>
          </w:tcPr>
          <w:p>
            <w:r/>
            <w:r>
              <w:rPr>
                <w:rFonts w:ascii="Arial" w:hAnsi="Arial"/>
                <w:b w:val="0"/>
                <w:sz w:val="16"/>
              </w:rPr>
              <w:t>1</w:t>
            </w:r>
          </w:p>
        </w:tc>
        <w:tc>
          <w:tcPr>
            <w:tcW w:type="dxa" w:w="3028"/>
          </w:tcPr>
          <w:p>
            <w:r/>
            <w:r>
              <w:rPr>
                <w:rFonts w:ascii="Arial" w:hAnsi="Arial"/>
                <w:b w:val="0"/>
                <w:sz w:val="16"/>
              </w:rPr>
              <w:t>Second - time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42</w:t>
            </w:r>
          </w:p>
        </w:tc>
        <w:tc>
          <w:tcPr>
            <w:tcW w:type="dxa" w:w="3028"/>
          </w:tcPr>
          <w:p>
            <w:r/>
            <w:r>
              <w:rPr>
                <w:rFonts w:ascii="Arial" w:hAnsi="Arial"/>
                <w:b w:val="0"/>
                <w:sz w:val="16"/>
              </w:rPr>
              <w:t>1</w:t>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43-46</w:t>
            </w:r>
          </w:p>
        </w:tc>
        <w:tc>
          <w:tcPr>
            <w:tcW w:type="dxa" w:w="3028"/>
          </w:tcPr>
          <w:p>
            <w:r/>
            <w:r>
              <w:rPr>
                <w:rFonts w:ascii="Arial" w:hAnsi="Arial"/>
                <w:b w:val="0"/>
                <w:sz w:val="16"/>
              </w:rPr>
              <w:t>4</w:t>
            </w:r>
          </w:p>
        </w:tc>
        <w:tc>
          <w:tcPr>
            <w:tcW w:type="dxa" w:w="3028"/>
          </w:tcPr>
          <w:p>
            <w:r/>
            <w:r>
              <w:rPr>
                <w:rFonts w:ascii="Arial" w:hAnsi="Arial"/>
                <w:b w:val="0"/>
                <w:sz w:val="16"/>
              </w:rPr>
              <w:t>Total number of data values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47-58   Specification of the outermost (or only) time range over which statistical processing is done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47</w:t>
            </w:r>
          </w:p>
        </w:tc>
        <w:tc>
          <w:tcPr>
            <w:tcW w:type="dxa" w:w="3028"/>
          </w:tcPr>
          <w:p>
            <w:r/>
            <w:r>
              <w:rPr>
                <w:rFonts w:ascii="Arial" w:hAnsi="Arial"/>
                <w:b w:val="0"/>
                <w:sz w:val="16"/>
              </w:rPr>
              <w:t>1</w:t>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w:t>
            </w:r>
          </w:p>
        </w:tc>
      </w:tr>
      <w:tr>
        <w:tc>
          <w:tcPr>
            <w:tcW w:type="dxa" w:w="3028"/>
          </w:tcPr>
          <w:p>
            <w:r/>
            <w:r>
              <w:rPr>
                <w:rFonts w:ascii="Arial" w:hAnsi="Arial"/>
                <w:b w:val="0"/>
                <w:sz w:val="16"/>
              </w:rPr>
              <w:t>48</w:t>
            </w:r>
          </w:p>
        </w:tc>
        <w:tc>
          <w:tcPr>
            <w:tcW w:type="dxa" w:w="3028"/>
          </w:tcPr>
          <w:p>
            <w:r/>
            <w:r>
              <w:rPr>
                <w:rFonts w:ascii="Arial" w:hAnsi="Arial"/>
                <w:b w:val="0"/>
                <w:sz w:val="16"/>
              </w:rPr>
              <w:t>1</w:t>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49</w:t>
            </w:r>
          </w:p>
        </w:tc>
        <w:tc>
          <w:tcPr>
            <w:tcW w:type="dxa" w:w="3028"/>
          </w:tcPr>
          <w:p>
            <w:r/>
            <w:r>
              <w:rPr>
                <w:rFonts w:ascii="Arial" w:hAnsi="Arial"/>
                <w:b w:val="0"/>
                <w:sz w:val="16"/>
              </w:rPr>
              <w:t>1</w:t>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50-53</w:t>
            </w:r>
          </w:p>
        </w:tc>
        <w:tc>
          <w:tcPr>
            <w:tcW w:type="dxa" w:w="3028"/>
          </w:tcPr>
          <w:p>
            <w:r/>
            <w:r>
              <w:rPr>
                <w:rFonts w:ascii="Arial" w:hAnsi="Arial"/>
                <w:b w:val="0"/>
                <w:sz w:val="16"/>
              </w:rPr>
              <w:t>4</w:t>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54</w:t>
            </w:r>
          </w:p>
        </w:tc>
        <w:tc>
          <w:tcPr>
            <w:tcW w:type="dxa" w:w="3028"/>
          </w:tcPr>
          <w:p>
            <w:r/>
            <w:r>
              <w:rPr>
                <w:rFonts w:ascii="Arial" w:hAnsi="Arial"/>
                <w:b w:val="0"/>
                <w:sz w:val="16"/>
              </w:rPr>
              <w:t>1</w:t>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55-58</w:t>
            </w:r>
          </w:p>
        </w:tc>
        <w:tc>
          <w:tcPr>
            <w:tcW w:type="dxa" w:w="3028"/>
          </w:tcPr>
          <w:p>
            <w:r/>
            <w:r>
              <w:rPr>
                <w:rFonts w:ascii="Arial" w:hAnsi="Arial"/>
                <w:b w:val="0"/>
                <w:sz w:val="16"/>
              </w:rPr>
              <w:t>4</w:t>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 | Note 96: The reference and forecast times are successively set to their initial values plus or minus the increment, as defined by the type of time increment (one of octets 48, 60, 72, ...). For all but the innermost (last) time range, the next inner range is then processed using these reference and forecast times as the initial reference and forecast times.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59-nn   These octets are included only if n &gt; 1, where nn = 46 + 12 x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59-70</w:t>
            </w:r>
          </w:p>
        </w:tc>
        <w:tc>
          <w:tcPr>
            <w:tcW w:type="dxa" w:w="3028"/>
          </w:tcPr>
          <w:p>
            <w:r/>
            <w:r>
              <w:rPr>
                <w:rFonts w:ascii="Arial" w:hAnsi="Arial"/>
                <w:b w:val="0"/>
                <w:sz w:val="16"/>
              </w:rPr>
              <w:t>12</w:t>
            </w:r>
          </w:p>
        </w:tc>
        <w:tc>
          <w:tcPr>
            <w:tcW w:type="dxa" w:w="3028"/>
          </w:tcPr>
          <w:p>
            <w:r/>
            <w:r>
              <w:rPr>
                <w:rFonts w:ascii="Arial" w:hAnsi="Arial"/>
                <w:b w:val="0"/>
                <w:sz w:val="16"/>
              </w:rPr>
              <w:t>As octets 47 to 58, next innermost step of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71-nn</w:t>
            </w:r>
          </w:p>
        </w:tc>
        <w:tc>
          <w:tcPr>
            <w:tcW w:type="dxa" w:w="3028"/>
          </w:tcPr>
          <w:p>
            <w:r/>
            <w:r>
              <w:rPr>
                <w:rFonts w:ascii="Arial" w:hAnsi="Arial"/>
                <w:b w:val="0"/>
                <w:sz w:val="16"/>
              </w:rPr>
            </w:r>
          </w:p>
        </w:tc>
        <w:tc>
          <w:tcPr>
            <w:tcW w:type="dxa" w:w="3028"/>
          </w:tcPr>
          <w:p>
            <w:r/>
            <w:r>
              <w:rPr>
                <w:rFonts w:ascii="Arial" w:hAnsi="Arial"/>
                <w:b w:val="0"/>
                <w:sz w:val="16"/>
              </w:rPr>
              <w:t>Additional time range specifications, included in accordance with the value of n. Contents as octets 47 to 58, repeated as necessary</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