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Post-processing analysis or forecast at a horizontal level or in a horizontal layer at a specified local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Input process identifier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82: The input process identifier shall have the value of the "analysis or forecast process identifier" of the original GRIB message used as input of the post-processing.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Input originating centre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81: The input originating centre shall have the value of the "originating centre" of the original GRIB message used as input of the post-processing.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CCT-11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post-processing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126: This identifies which post-processing technique was used. This is defined by the originating centre.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Analysis or 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28-31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Method used to derive the data field values at the local time specified in section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4.248)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4.248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- number of analyses or forecasts used to create the composite data field at the local time specified in section 1 (n &gt;=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Octets 34-51 Specification of the analysis or forecast used in the processing (n =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34-35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Year of the analysis or forecast used in the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Month of the analysis or forecast used in the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Day of the analysis or forecast used in the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 of the analysis or forecast used in the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 of the analysis or forecast used in the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Second of the analysis or forecast used in the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units of forecast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70: Set code to missing if analysis.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42-45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155: The reference time in octets 34-40 and the forecast time together define the beginning of the overall time interval. | Note 70: Set code to missing if analysis.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time increments of the forecast used in the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units of time for the time increments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48-51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Time increments between successive forecast times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Octets 52-nn are included only if n &gt; 1 where nn = 33 + 18 x 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(n-1) repetitions of sequence of octets 34-51 describing the next analyses or forecasts used in the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