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Post-processing individual ensemble forecast, control and perturbed, at a horizontal level or in a horizontal layer at a specified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82: The input process identifier shall have the value of the "analysis or forecast process identifier"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originating centre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81: The input originating centre shall have the value of the "originating centre"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post-processing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This identifies which post-processing technique was used. This is defined by the originating centre.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Method used to derive the data field values at the local time specified in section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analyses or forecasts used to create the composite data field at the local time specified in section 1 (n &gt;=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37-54 Specification of the analysis or forecast used in the processing (n 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forecast time (set to missing if analysis)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154: The reference time in octets 37-43 and the forecast time together define the beginning of the overall time interval. | 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increments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time for the time increments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increments between successive forecast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55-nn are included only if n &gt; 1 where nn = 36 + 18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repetitions of sequence of octets 37-54 describing the next analyses or forecasts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